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仿宋_GB2312" w:hAnsi="楷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楷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  <w:lang w:eastAsia="zh-CN"/>
        </w:rPr>
        <w:t>新（改）建农村老人活动中心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 w:cs="仿宋_GB2312"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sz w:val="40"/>
          <w:szCs w:val="40"/>
          <w:shd w:val="clear" w:color="auto" w:fill="FFFFFF"/>
        </w:rPr>
        <w:t>任务分配表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9"/>
        <w:gridCol w:w="4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7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val="en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任务数（家）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5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B1523"/>
    <w:rsid w:val="762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Autospacing="0" w:after="200" w:afterAutospacing="0" w:line="360" w:lineRule="auto"/>
      <w:outlineLvl w:val="0"/>
    </w:pPr>
    <w:rPr>
      <w:rFonts w:ascii="Calibri" w:hAnsi="Calibri" w:eastAsia="华文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2022-04-29T09:21:00Z</dcterms:created>
  <dc:creator>少爷</dc:creator>
  <cp:lastModifiedBy>少爷</cp:lastModifiedBy>
  <dcterms:modified xsi:type="dcterms:W3CDTF">2022-04-29T09:21:48Z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A644483409934256869C110162695829</vt:lpwstr>
  </property>
</Properties>
</file>