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楷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楷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  <w:lang w:val="en-US" w:eastAsia="zh-CN"/>
        </w:rPr>
        <w:t>高龄独居失能老年人家庭安装智能安全守护监测设备</w:t>
      </w: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</w:rPr>
        <w:t>任务分配表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4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7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任务数（户）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龙港市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C14D0"/>
    <w:rsid w:val="2E9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Autospacing="0" w:after="200" w:afterAutospacing="0" w:line="360" w:lineRule="auto"/>
      <w:outlineLvl w:val="0"/>
    </w:pPr>
    <w:rPr>
      <w:rFonts w:ascii="Calibri" w:hAnsi="Calibri" w:eastAsia="华文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2022-04-29T09:21:00Z</dcterms:created>
  <dc:creator>少爷</dc:creator>
  <cp:lastModifiedBy>少爷</cp:lastModifiedBy>
  <dcterms:modified xsi:type="dcterms:W3CDTF">2022-04-29T09:21:26Z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E4F052E8182F4A3CB3B44B1B0421874D</vt:lpwstr>
  </property>
</Properties>
</file>