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cs="仿宋_GB2312"/>
          <w:szCs w:val="32"/>
        </w:rPr>
      </w:pPr>
      <w:r>
        <w:rPr>
          <w:rFonts w:hint="eastAsia" w:ascii="仿宋_GB2312" w:hAnsi="仿宋_GB2312" w:cs="仿宋_GB2312"/>
          <w:szCs w:val="32"/>
        </w:rPr>
        <w:t>附件4</w:t>
      </w:r>
    </w:p>
    <w:p>
      <w:pPr>
        <w:spacing w:line="560" w:lineRule="exact"/>
        <w:jc w:val="center"/>
        <w:rPr>
          <w:rFonts w:ascii="方正小标宋简体" w:hAnsi="黑体" w:eastAsia="方正小标宋简体" w:cs="方正小标宋简体"/>
          <w:sz w:val="44"/>
          <w:szCs w:val="44"/>
        </w:rPr>
      </w:pPr>
      <w:r>
        <w:rPr>
          <w:rFonts w:hint="eastAsia" w:ascii="方正小标宋简体" w:hAnsi="黑体" w:eastAsia="方正小标宋简体" w:cs="方正小标宋简体"/>
          <w:sz w:val="44"/>
          <w:szCs w:val="44"/>
        </w:rPr>
        <w:t>养老机构等级认定项目表</w:t>
      </w:r>
      <w:r>
        <w:rPr>
          <w:rFonts w:ascii="方正小标宋简体" w:hAnsi="黑体" w:eastAsia="方正小标宋简体" w:cs="方正小标宋简体"/>
          <w:sz w:val="44"/>
          <w:szCs w:val="44"/>
        </w:rPr>
        <w:t>B</w:t>
      </w:r>
    </w:p>
    <w:tbl>
      <w:tblPr>
        <w:tblStyle w:val="3"/>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96"/>
        <w:gridCol w:w="817"/>
        <w:gridCol w:w="4626"/>
        <w:gridCol w:w="368"/>
        <w:gridCol w:w="1995"/>
        <w:gridCol w:w="45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5" w:hRule="atLeast"/>
          <w:tblCellSpacing w:w="0" w:type="dxa"/>
          <w:jc w:val="center"/>
        </w:trPr>
        <w:tc>
          <w:tcPr>
            <w:tcW w:w="8859" w:type="dxa"/>
            <w:gridSpan w:val="6"/>
            <w:noWrap w:val="0"/>
            <w:vAlign w:val="center"/>
          </w:tcPr>
          <w:p>
            <w:pPr>
              <w:pStyle w:val="2"/>
              <w:spacing w:beforeAutospacing="0" w:afterAutospacing="0" w:line="280" w:lineRule="exact"/>
              <w:rPr>
                <w:rFonts w:hint="eastAsia" w:ascii="仿宋_GB2312" w:hAnsi="仿宋_GB2312" w:cs="仿宋_GB2312"/>
                <w:kern w:val="2"/>
              </w:rPr>
            </w:pPr>
            <w:r>
              <w:rPr>
                <w:rFonts w:hint="eastAsia" w:ascii="仿宋_GB2312" w:hAnsi="仿宋_GB2312" w:cs="仿宋_GB2312"/>
                <w:kern w:val="2"/>
              </w:rPr>
              <w:t>养老机构等级认定（安全部分）250分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00" w:hRule="atLeast"/>
          <w:tblCellSpacing w:w="0" w:type="dxa"/>
          <w:jc w:val="center"/>
        </w:trPr>
        <w:tc>
          <w:tcPr>
            <w:tcW w:w="596" w:type="dxa"/>
            <w:noWrap w:val="0"/>
            <w:vAlign w:val="center"/>
          </w:tcPr>
          <w:p>
            <w:pPr>
              <w:pStyle w:val="2"/>
              <w:spacing w:beforeAutospacing="0" w:afterAutospacing="0" w:line="280" w:lineRule="exact"/>
              <w:jc w:val="center"/>
              <w:rPr>
                <w:rFonts w:hint="eastAsia" w:ascii="仿宋_GB2312" w:hAnsi="仿宋_GB2312" w:cs="仿宋_GB2312"/>
                <w:kern w:val="2"/>
              </w:rPr>
            </w:pPr>
            <w:r>
              <w:rPr>
                <w:rFonts w:hint="eastAsia" w:ascii="仿宋_GB2312" w:hAnsi="仿宋_GB2312" w:cs="仿宋_GB2312"/>
                <w:kern w:val="2"/>
              </w:rPr>
              <w:t>类目</w:t>
            </w:r>
          </w:p>
        </w:tc>
        <w:tc>
          <w:tcPr>
            <w:tcW w:w="817" w:type="dxa"/>
            <w:noWrap w:val="0"/>
            <w:vAlign w:val="center"/>
          </w:tcPr>
          <w:p>
            <w:pPr>
              <w:pStyle w:val="2"/>
              <w:spacing w:beforeAutospacing="0" w:afterAutospacing="0" w:line="280" w:lineRule="exact"/>
              <w:jc w:val="center"/>
              <w:rPr>
                <w:rFonts w:hint="eastAsia" w:ascii="仿宋_GB2312" w:hAnsi="仿宋_GB2312" w:cs="仿宋_GB2312"/>
                <w:kern w:val="2"/>
              </w:rPr>
            </w:pPr>
            <w:r>
              <w:rPr>
                <w:rFonts w:hint="eastAsia" w:ascii="仿宋_GB2312" w:hAnsi="仿宋_GB2312" w:cs="仿宋_GB2312"/>
                <w:kern w:val="2"/>
              </w:rPr>
              <w:t>序号</w:t>
            </w:r>
          </w:p>
        </w:tc>
        <w:tc>
          <w:tcPr>
            <w:tcW w:w="4626" w:type="dxa"/>
            <w:noWrap w:val="0"/>
            <w:vAlign w:val="center"/>
          </w:tcPr>
          <w:p>
            <w:pPr>
              <w:pStyle w:val="2"/>
              <w:spacing w:beforeAutospacing="0" w:afterAutospacing="0" w:line="280" w:lineRule="exact"/>
              <w:jc w:val="center"/>
              <w:rPr>
                <w:rFonts w:hint="eastAsia" w:ascii="仿宋_GB2312" w:hAnsi="仿宋_GB2312" w:cs="仿宋_GB2312"/>
                <w:kern w:val="2"/>
              </w:rPr>
            </w:pPr>
            <w:r>
              <w:rPr>
                <w:rFonts w:hint="eastAsia" w:ascii="仿宋_GB2312" w:hAnsi="仿宋_GB2312" w:cs="仿宋_GB2312"/>
                <w:kern w:val="2"/>
              </w:rPr>
              <w:t>标准要求</w:t>
            </w:r>
          </w:p>
        </w:tc>
        <w:tc>
          <w:tcPr>
            <w:tcW w:w="368" w:type="dxa"/>
            <w:noWrap w:val="0"/>
            <w:vAlign w:val="center"/>
          </w:tcPr>
          <w:p>
            <w:pPr>
              <w:pStyle w:val="2"/>
              <w:spacing w:beforeAutospacing="0" w:afterAutospacing="0" w:line="280" w:lineRule="exact"/>
              <w:jc w:val="center"/>
              <w:rPr>
                <w:rFonts w:hint="eastAsia" w:ascii="仿宋_GB2312" w:hAnsi="仿宋_GB2312" w:cs="仿宋_GB2312"/>
                <w:kern w:val="2"/>
              </w:rPr>
            </w:pPr>
            <w:r>
              <w:rPr>
                <w:rFonts w:hint="eastAsia" w:ascii="仿宋_GB2312" w:hAnsi="仿宋_GB2312" w:cs="仿宋_GB2312"/>
                <w:kern w:val="2"/>
              </w:rPr>
              <w:t>分值</w:t>
            </w:r>
          </w:p>
        </w:tc>
        <w:tc>
          <w:tcPr>
            <w:tcW w:w="1995" w:type="dxa"/>
            <w:noWrap w:val="0"/>
            <w:vAlign w:val="center"/>
          </w:tcPr>
          <w:p>
            <w:pPr>
              <w:pStyle w:val="2"/>
              <w:spacing w:beforeAutospacing="0" w:afterAutospacing="0" w:line="280" w:lineRule="exact"/>
              <w:jc w:val="center"/>
              <w:rPr>
                <w:rFonts w:hint="eastAsia" w:ascii="仿宋_GB2312" w:hAnsi="仿宋_GB2312" w:cs="仿宋_GB2312"/>
                <w:kern w:val="2"/>
              </w:rPr>
            </w:pPr>
            <w:r>
              <w:rPr>
                <w:rFonts w:hint="eastAsia" w:ascii="仿宋_GB2312" w:hAnsi="仿宋_GB2312" w:cs="仿宋_GB2312"/>
                <w:kern w:val="2"/>
              </w:rPr>
              <w:t>评分标准</w:t>
            </w:r>
          </w:p>
        </w:tc>
        <w:tc>
          <w:tcPr>
            <w:tcW w:w="457" w:type="dxa"/>
            <w:noWrap w:val="0"/>
            <w:vAlign w:val="center"/>
          </w:tcPr>
          <w:p>
            <w:pPr>
              <w:pStyle w:val="2"/>
              <w:spacing w:beforeAutospacing="0" w:afterAutospacing="0" w:line="280" w:lineRule="exact"/>
              <w:jc w:val="center"/>
              <w:rPr>
                <w:rFonts w:hint="eastAsia" w:ascii="仿宋_GB2312" w:hAnsi="仿宋_GB2312" w:cs="仿宋_GB2312"/>
                <w:kern w:val="2"/>
              </w:rPr>
            </w:pPr>
            <w:r>
              <w:rPr>
                <w:rFonts w:hint="eastAsia" w:ascii="仿宋_GB2312" w:hAnsi="仿宋_GB2312" w:cs="仿宋_GB2312"/>
                <w:kern w:val="2"/>
              </w:rPr>
              <w:t>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0" w:hRule="atLeast"/>
          <w:tblCellSpacing w:w="0" w:type="dxa"/>
          <w:jc w:val="center"/>
        </w:trPr>
        <w:tc>
          <w:tcPr>
            <w:tcW w:w="596" w:type="dxa"/>
            <w:vMerge w:val="restart"/>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安</w:t>
            </w:r>
          </w:p>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全</w:t>
            </w:r>
          </w:p>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标</w:t>
            </w:r>
          </w:p>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准</w:t>
            </w:r>
          </w:p>
        </w:tc>
        <w:tc>
          <w:tcPr>
            <w:tcW w:w="81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w:t>
            </w:r>
          </w:p>
        </w:tc>
        <w:tc>
          <w:tcPr>
            <w:tcW w:w="4626"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年内无意外责任事故（因护理不当发生骨折、噎食等）</w:t>
            </w:r>
          </w:p>
        </w:tc>
        <w:tc>
          <w:tcPr>
            <w:tcW w:w="368"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1995"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有发生责任事故不得分</w:t>
            </w:r>
          </w:p>
        </w:tc>
        <w:tc>
          <w:tcPr>
            <w:tcW w:w="457" w:type="dxa"/>
            <w:noWrap w:val="0"/>
            <w:vAlign w:val="center"/>
          </w:tcPr>
          <w:p>
            <w:pPr>
              <w:pStyle w:val="2"/>
              <w:spacing w:beforeAutospacing="0" w:afterAutospacing="0" w:line="280" w:lineRule="exact"/>
              <w:rPr>
                <w:rFonts w:hint="eastAsia" w:ascii="仿宋_GB2312" w:hAnsi="仿宋_GB2312" w:cs="仿宋_GB2312"/>
                <w:kern w:val="2"/>
                <w:sz w:val="21"/>
                <w:szCs w:val="21"/>
              </w:rPr>
            </w:pPr>
            <w:r>
              <w:rPr>
                <w:rFonts w:hint="eastAsia" w:ascii="仿宋_GB2312" w:hAnsi="仿宋_GB2312" w:cs="仿宋_GB2312"/>
                <w:kern w:val="2"/>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5" w:hRule="atLeast"/>
          <w:tblCellSpacing w:w="0" w:type="dxa"/>
          <w:jc w:val="center"/>
        </w:trPr>
        <w:tc>
          <w:tcPr>
            <w:tcW w:w="596" w:type="dxa"/>
            <w:vMerge w:val="continue"/>
            <w:noWrap w:val="0"/>
            <w:vAlign w:val="center"/>
          </w:tcPr>
          <w:p>
            <w:pPr>
              <w:spacing w:line="200" w:lineRule="exact"/>
              <w:jc w:val="center"/>
              <w:rPr>
                <w:rFonts w:hint="eastAsia" w:ascii="仿宋_GB2312" w:hAnsi="仿宋_GB2312" w:cs="仿宋_GB2312"/>
                <w:sz w:val="21"/>
                <w:szCs w:val="21"/>
              </w:rPr>
            </w:pPr>
          </w:p>
        </w:tc>
        <w:tc>
          <w:tcPr>
            <w:tcW w:w="81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w:t>
            </w:r>
          </w:p>
        </w:tc>
        <w:tc>
          <w:tcPr>
            <w:tcW w:w="4626"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选址：交通方便、基础设施完善，周边环境远离噪声、污染源；救护车、消防车可出入。</w:t>
            </w:r>
          </w:p>
        </w:tc>
        <w:tc>
          <w:tcPr>
            <w:tcW w:w="368"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1995"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不符合标准不得分</w:t>
            </w:r>
          </w:p>
        </w:tc>
        <w:tc>
          <w:tcPr>
            <w:tcW w:w="457" w:type="dxa"/>
            <w:noWrap w:val="0"/>
            <w:vAlign w:val="center"/>
          </w:tcPr>
          <w:p>
            <w:pPr>
              <w:pStyle w:val="2"/>
              <w:spacing w:beforeAutospacing="0" w:afterAutospacing="0" w:line="280" w:lineRule="exact"/>
              <w:rPr>
                <w:rFonts w:hint="eastAsia" w:ascii="仿宋_GB2312" w:hAnsi="仿宋_GB2312" w:cs="仿宋_GB2312"/>
                <w:kern w:val="2"/>
                <w:sz w:val="21"/>
                <w:szCs w:val="21"/>
              </w:rPr>
            </w:pPr>
            <w:r>
              <w:rPr>
                <w:rFonts w:hint="eastAsia" w:ascii="仿宋_GB2312" w:hAnsi="仿宋_GB2312" w:cs="仿宋_GB2312"/>
                <w:kern w:val="2"/>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80" w:hRule="atLeast"/>
          <w:tblCellSpacing w:w="0" w:type="dxa"/>
          <w:jc w:val="center"/>
        </w:trPr>
        <w:tc>
          <w:tcPr>
            <w:tcW w:w="596" w:type="dxa"/>
            <w:vMerge w:val="continue"/>
            <w:noWrap w:val="0"/>
            <w:vAlign w:val="center"/>
          </w:tcPr>
          <w:p>
            <w:pPr>
              <w:spacing w:line="200" w:lineRule="exact"/>
              <w:jc w:val="center"/>
              <w:rPr>
                <w:rFonts w:hint="eastAsia" w:ascii="仿宋_GB2312" w:hAnsi="仿宋_GB2312" w:cs="仿宋_GB2312"/>
                <w:sz w:val="21"/>
                <w:szCs w:val="21"/>
              </w:rPr>
            </w:pPr>
          </w:p>
        </w:tc>
        <w:tc>
          <w:tcPr>
            <w:tcW w:w="81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3</w:t>
            </w:r>
          </w:p>
        </w:tc>
        <w:tc>
          <w:tcPr>
            <w:tcW w:w="4626"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主要步行通道：平坦、无高差；无障碍设施满足服务需求，方便轮椅通行，配有夜间照明和标识。</w:t>
            </w:r>
          </w:p>
        </w:tc>
        <w:tc>
          <w:tcPr>
            <w:tcW w:w="368"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1995"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不符合标准不得分</w:t>
            </w:r>
          </w:p>
        </w:tc>
        <w:tc>
          <w:tcPr>
            <w:tcW w:w="457" w:type="dxa"/>
            <w:noWrap w:val="0"/>
            <w:vAlign w:val="center"/>
          </w:tcPr>
          <w:p>
            <w:pPr>
              <w:pStyle w:val="2"/>
              <w:spacing w:beforeAutospacing="0" w:afterAutospacing="0" w:line="280" w:lineRule="exact"/>
              <w:rPr>
                <w:rFonts w:hint="eastAsia" w:ascii="仿宋_GB2312" w:hAnsi="仿宋_GB2312" w:cs="仿宋_GB2312"/>
                <w:kern w:val="2"/>
                <w:sz w:val="21"/>
                <w:szCs w:val="21"/>
              </w:rPr>
            </w:pPr>
            <w:r>
              <w:rPr>
                <w:rFonts w:hint="eastAsia" w:ascii="仿宋_GB2312" w:hAnsi="仿宋_GB2312" w:cs="仿宋_GB2312"/>
                <w:kern w:val="2"/>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0" w:hRule="atLeast"/>
          <w:tblCellSpacing w:w="0" w:type="dxa"/>
          <w:jc w:val="center"/>
        </w:trPr>
        <w:tc>
          <w:tcPr>
            <w:tcW w:w="596" w:type="dxa"/>
            <w:vMerge w:val="continue"/>
            <w:noWrap w:val="0"/>
            <w:vAlign w:val="center"/>
          </w:tcPr>
          <w:p>
            <w:pPr>
              <w:spacing w:line="200" w:lineRule="exact"/>
              <w:jc w:val="center"/>
              <w:rPr>
                <w:rFonts w:hint="eastAsia" w:ascii="仿宋_GB2312" w:hAnsi="仿宋_GB2312" w:cs="仿宋_GB2312"/>
                <w:sz w:val="21"/>
                <w:szCs w:val="21"/>
              </w:rPr>
            </w:pPr>
          </w:p>
        </w:tc>
        <w:tc>
          <w:tcPr>
            <w:tcW w:w="81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4</w:t>
            </w:r>
          </w:p>
        </w:tc>
        <w:tc>
          <w:tcPr>
            <w:tcW w:w="4626"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（1）室外设施：安置健身器材的地面平整、防滑、有防护措施；（2）有警示性标识及防护设施。</w:t>
            </w:r>
          </w:p>
        </w:tc>
        <w:tc>
          <w:tcPr>
            <w:tcW w:w="368"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1995"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一项不符合标准扣3分</w:t>
            </w:r>
          </w:p>
        </w:tc>
        <w:tc>
          <w:tcPr>
            <w:tcW w:w="457" w:type="dxa"/>
            <w:noWrap w:val="0"/>
            <w:vAlign w:val="center"/>
          </w:tcPr>
          <w:p>
            <w:pPr>
              <w:pStyle w:val="2"/>
              <w:spacing w:beforeAutospacing="0" w:afterAutospacing="0" w:line="280" w:lineRule="exact"/>
              <w:rPr>
                <w:rFonts w:hint="eastAsia" w:ascii="仿宋_GB2312" w:hAnsi="仿宋_GB2312" w:cs="仿宋_GB2312"/>
                <w:kern w:val="2"/>
                <w:sz w:val="21"/>
                <w:szCs w:val="21"/>
              </w:rPr>
            </w:pPr>
            <w:r>
              <w:rPr>
                <w:rFonts w:hint="eastAsia" w:ascii="仿宋_GB2312" w:hAnsi="仿宋_GB2312" w:cs="仿宋_GB2312"/>
                <w:kern w:val="2"/>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766" w:hRule="atLeast"/>
          <w:tblCellSpacing w:w="0" w:type="dxa"/>
          <w:jc w:val="center"/>
        </w:trPr>
        <w:tc>
          <w:tcPr>
            <w:tcW w:w="596" w:type="dxa"/>
            <w:vMerge w:val="continue"/>
            <w:noWrap w:val="0"/>
            <w:vAlign w:val="center"/>
          </w:tcPr>
          <w:p>
            <w:pPr>
              <w:spacing w:line="200" w:lineRule="exact"/>
              <w:jc w:val="center"/>
              <w:rPr>
                <w:rFonts w:hint="eastAsia" w:ascii="仿宋_GB2312" w:hAnsi="仿宋_GB2312" w:cs="仿宋_GB2312"/>
                <w:sz w:val="21"/>
                <w:szCs w:val="21"/>
              </w:rPr>
            </w:pPr>
          </w:p>
        </w:tc>
        <w:tc>
          <w:tcPr>
            <w:tcW w:w="81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4626"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（1）出入口不少于2处，有效宽度不小于1.20m；</w:t>
            </w:r>
          </w:p>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（2）出入口处内、外应有不小于1.50m×1.50m轮椅回转面积；</w:t>
            </w:r>
          </w:p>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（3）出入口处的平台与建筑室外采用缓步台阶和轮椅坡道过渡，起止处有异色警示条</w:t>
            </w:r>
          </w:p>
        </w:tc>
        <w:tc>
          <w:tcPr>
            <w:tcW w:w="368"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1995"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（1）出入口少于2处不得分，（10分全扣）出入口有效宽度小于1.20m扣2分；（2）项不符合标准扣2分；（3）出入口处平台与建筑室外无缓步台阶和轮椅坡道过渡扣2分，起止处无异色警示条扣2分</w:t>
            </w:r>
          </w:p>
        </w:tc>
        <w:tc>
          <w:tcPr>
            <w:tcW w:w="457" w:type="dxa"/>
            <w:noWrap w:val="0"/>
            <w:vAlign w:val="center"/>
          </w:tcPr>
          <w:p>
            <w:pPr>
              <w:pStyle w:val="2"/>
              <w:spacing w:beforeAutospacing="0" w:afterAutospacing="0" w:line="280" w:lineRule="exact"/>
              <w:rPr>
                <w:rFonts w:hint="eastAsia" w:ascii="仿宋_GB2312" w:hAnsi="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15" w:hRule="atLeast"/>
          <w:tblCellSpacing w:w="0" w:type="dxa"/>
          <w:jc w:val="center"/>
        </w:trPr>
        <w:tc>
          <w:tcPr>
            <w:tcW w:w="596" w:type="dxa"/>
            <w:vMerge w:val="continue"/>
            <w:noWrap w:val="0"/>
            <w:vAlign w:val="center"/>
          </w:tcPr>
          <w:p>
            <w:pPr>
              <w:spacing w:line="200" w:lineRule="exact"/>
              <w:jc w:val="center"/>
              <w:rPr>
                <w:rFonts w:hint="eastAsia" w:ascii="仿宋_GB2312" w:hAnsi="仿宋_GB2312" w:cs="仿宋_GB2312"/>
                <w:sz w:val="21"/>
                <w:szCs w:val="21"/>
              </w:rPr>
            </w:pPr>
          </w:p>
        </w:tc>
        <w:tc>
          <w:tcPr>
            <w:tcW w:w="81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6</w:t>
            </w:r>
          </w:p>
        </w:tc>
        <w:tc>
          <w:tcPr>
            <w:tcW w:w="4626"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门：主要出入口的门不选用旋转门、推拉门；公共外门、重度照护室门净宽不小于1.10m；卧室、走道、卫生间、浴室、防火等门净宽不小于0.80m；开向公共走道门不影响安全疏散；室内面积大于60m²时，门向疏散方向开启；（2）公共区域的门配有方便观察的玻璃；（3）疏散通道的防火门门扇距地1.10m以上，设透明防火玻璃，闭门器有阻尼缓冲装置；（4）公共通道上的分区门，其门扇距地0.65m以上，并设透明安全玻璃</w:t>
            </w:r>
          </w:p>
        </w:tc>
        <w:tc>
          <w:tcPr>
            <w:tcW w:w="368"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15</w:t>
            </w:r>
          </w:p>
        </w:tc>
        <w:tc>
          <w:tcPr>
            <w:tcW w:w="1995"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（1）项不符合要求扣10分；（2）项不符合标准扣2分（3）项不符合标准扣5分；（4）项不符合标准扣2分</w:t>
            </w:r>
          </w:p>
        </w:tc>
        <w:tc>
          <w:tcPr>
            <w:tcW w:w="457" w:type="dxa"/>
            <w:noWrap w:val="0"/>
            <w:vAlign w:val="center"/>
          </w:tcPr>
          <w:p>
            <w:pPr>
              <w:pStyle w:val="2"/>
              <w:spacing w:beforeAutospacing="0" w:afterAutospacing="0" w:line="280" w:lineRule="exact"/>
              <w:rPr>
                <w:rFonts w:hint="eastAsia" w:ascii="仿宋_GB2312" w:hAnsi="仿宋_GB2312" w:cs="仿宋_GB2312"/>
                <w:kern w:val="2"/>
                <w:sz w:val="21"/>
                <w:szCs w:val="21"/>
              </w:rPr>
            </w:pPr>
            <w:r>
              <w:rPr>
                <w:rFonts w:hint="eastAsia" w:ascii="仿宋_GB2312" w:hAnsi="仿宋_GB2312" w:cs="仿宋_GB2312"/>
                <w:kern w:val="2"/>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96" w:hRule="atLeast"/>
          <w:tblCellSpacing w:w="0" w:type="dxa"/>
          <w:jc w:val="center"/>
        </w:trPr>
        <w:tc>
          <w:tcPr>
            <w:tcW w:w="596" w:type="dxa"/>
            <w:vMerge w:val="continue"/>
            <w:noWrap w:val="0"/>
            <w:vAlign w:val="center"/>
          </w:tcPr>
          <w:p>
            <w:pPr>
              <w:spacing w:line="200" w:lineRule="exact"/>
              <w:jc w:val="center"/>
              <w:rPr>
                <w:rFonts w:hint="eastAsia" w:ascii="仿宋_GB2312" w:hAnsi="仿宋_GB2312" w:cs="仿宋_GB2312"/>
                <w:sz w:val="21"/>
                <w:szCs w:val="21"/>
              </w:rPr>
            </w:pPr>
          </w:p>
        </w:tc>
        <w:tc>
          <w:tcPr>
            <w:tcW w:w="81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7</w:t>
            </w:r>
          </w:p>
        </w:tc>
        <w:tc>
          <w:tcPr>
            <w:tcW w:w="4626"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室内装修：装饰材料符合消防环保要求；大面积使用玻璃材质时应有异色警示标识；（2）室内地面选用平整、防滑、耐磨材料，厨房、卫生间、浴室地面选防滑材料；（3）走廊墙面无突出物，灭火器和标识板等设置应不妨碍老年人正常通行。</w:t>
            </w:r>
          </w:p>
        </w:tc>
        <w:tc>
          <w:tcPr>
            <w:tcW w:w="368"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15</w:t>
            </w:r>
          </w:p>
        </w:tc>
        <w:tc>
          <w:tcPr>
            <w:tcW w:w="1995"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每一项不符合标准扣5分</w:t>
            </w:r>
          </w:p>
        </w:tc>
        <w:tc>
          <w:tcPr>
            <w:tcW w:w="457" w:type="dxa"/>
            <w:noWrap w:val="0"/>
            <w:vAlign w:val="center"/>
          </w:tcPr>
          <w:p>
            <w:pPr>
              <w:pStyle w:val="2"/>
              <w:spacing w:beforeAutospacing="0" w:afterAutospacing="0" w:line="280" w:lineRule="exact"/>
              <w:rPr>
                <w:rFonts w:hint="eastAsia" w:ascii="仿宋_GB2312" w:hAnsi="仿宋_GB2312" w:cs="仿宋_GB2312"/>
                <w:kern w:val="2"/>
                <w:sz w:val="21"/>
                <w:szCs w:val="21"/>
              </w:rPr>
            </w:pPr>
            <w:r>
              <w:rPr>
                <w:rFonts w:hint="eastAsia" w:ascii="仿宋_GB2312" w:hAnsi="仿宋_GB2312" w:cs="仿宋_GB2312"/>
                <w:kern w:val="2"/>
                <w:sz w:val="21"/>
                <w:szCs w:val="21"/>
              </w:rPr>
              <w:t> </w:t>
            </w:r>
          </w:p>
        </w:tc>
      </w:tr>
    </w:tbl>
    <w:tbl>
      <w:tblPr>
        <w:tblStyle w:val="3"/>
        <w:tblpPr w:leftFromText="180" w:rightFromText="180" w:vertAnchor="text" w:horzAnchor="page" w:tblpX="1401" w:tblpY="225"/>
        <w:tblOverlap w:val="never"/>
        <w:tblW w:w="0" w:type="auto"/>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49"/>
        <w:gridCol w:w="717"/>
        <w:gridCol w:w="4039"/>
        <w:gridCol w:w="627"/>
        <w:gridCol w:w="2613"/>
        <w:gridCol w:w="3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79" w:hRule="atLeast"/>
          <w:tblCellSpacing w:w="0" w:type="dxa"/>
        </w:trPr>
        <w:tc>
          <w:tcPr>
            <w:tcW w:w="749" w:type="dxa"/>
            <w:noWrap w:val="0"/>
            <w:vAlign w:val="center"/>
          </w:tcPr>
          <w:p>
            <w:pPr>
              <w:pStyle w:val="2"/>
              <w:spacing w:beforeAutospacing="0" w:afterAutospacing="0" w:line="300" w:lineRule="exact"/>
              <w:jc w:val="center"/>
              <w:rPr>
                <w:rFonts w:hint="eastAsia" w:ascii="仿宋_GB2312" w:hAnsi="仿宋_GB2312" w:cs="仿宋_GB2312"/>
                <w:kern w:val="2"/>
              </w:rPr>
            </w:pPr>
            <w:r>
              <w:rPr>
                <w:rFonts w:hint="eastAsia" w:ascii="仿宋_GB2312" w:hAnsi="仿宋_GB2312" w:cs="仿宋_GB2312"/>
                <w:kern w:val="2"/>
              </w:rPr>
              <w:t>类目</w:t>
            </w:r>
          </w:p>
        </w:tc>
        <w:tc>
          <w:tcPr>
            <w:tcW w:w="717" w:type="dxa"/>
            <w:noWrap w:val="0"/>
            <w:vAlign w:val="center"/>
          </w:tcPr>
          <w:p>
            <w:pPr>
              <w:pStyle w:val="2"/>
              <w:spacing w:beforeAutospacing="0" w:afterAutospacing="0" w:line="300" w:lineRule="exact"/>
              <w:jc w:val="center"/>
              <w:rPr>
                <w:rFonts w:hint="eastAsia" w:ascii="仿宋_GB2312" w:hAnsi="仿宋_GB2312" w:cs="仿宋_GB2312"/>
                <w:kern w:val="2"/>
              </w:rPr>
            </w:pPr>
            <w:r>
              <w:rPr>
                <w:rFonts w:hint="eastAsia" w:ascii="仿宋_GB2312" w:hAnsi="仿宋_GB2312" w:cs="仿宋_GB2312"/>
                <w:kern w:val="2"/>
              </w:rPr>
              <w:t>序号</w:t>
            </w:r>
          </w:p>
        </w:tc>
        <w:tc>
          <w:tcPr>
            <w:tcW w:w="4039" w:type="dxa"/>
            <w:noWrap w:val="0"/>
            <w:vAlign w:val="center"/>
          </w:tcPr>
          <w:p>
            <w:pPr>
              <w:pStyle w:val="2"/>
              <w:spacing w:beforeAutospacing="0" w:afterAutospacing="0" w:line="300" w:lineRule="exact"/>
              <w:jc w:val="center"/>
              <w:rPr>
                <w:rFonts w:hint="eastAsia" w:ascii="仿宋_GB2312" w:hAnsi="仿宋_GB2312" w:cs="仿宋_GB2312"/>
                <w:kern w:val="2"/>
              </w:rPr>
            </w:pPr>
            <w:r>
              <w:rPr>
                <w:rFonts w:hint="eastAsia" w:ascii="仿宋_GB2312" w:hAnsi="仿宋_GB2312" w:cs="仿宋_GB2312"/>
                <w:kern w:val="2"/>
              </w:rPr>
              <w:t>标准要求</w:t>
            </w:r>
          </w:p>
        </w:tc>
        <w:tc>
          <w:tcPr>
            <w:tcW w:w="627" w:type="dxa"/>
            <w:noWrap w:val="0"/>
            <w:vAlign w:val="center"/>
          </w:tcPr>
          <w:p>
            <w:pPr>
              <w:pStyle w:val="2"/>
              <w:spacing w:beforeAutospacing="0" w:afterAutospacing="0" w:line="300" w:lineRule="exact"/>
              <w:jc w:val="center"/>
              <w:rPr>
                <w:rFonts w:hint="eastAsia" w:ascii="仿宋_GB2312" w:hAnsi="仿宋_GB2312" w:cs="仿宋_GB2312"/>
                <w:kern w:val="2"/>
              </w:rPr>
            </w:pPr>
            <w:r>
              <w:rPr>
                <w:rFonts w:hint="eastAsia" w:ascii="仿宋_GB2312" w:hAnsi="仿宋_GB2312" w:cs="仿宋_GB2312"/>
                <w:kern w:val="2"/>
              </w:rPr>
              <w:t>分值</w:t>
            </w:r>
          </w:p>
        </w:tc>
        <w:tc>
          <w:tcPr>
            <w:tcW w:w="2613" w:type="dxa"/>
            <w:noWrap w:val="0"/>
            <w:vAlign w:val="center"/>
          </w:tcPr>
          <w:p>
            <w:pPr>
              <w:pStyle w:val="2"/>
              <w:spacing w:beforeAutospacing="0" w:afterAutospacing="0" w:line="300" w:lineRule="exact"/>
              <w:jc w:val="center"/>
              <w:rPr>
                <w:rFonts w:hint="eastAsia" w:ascii="仿宋_GB2312" w:hAnsi="仿宋_GB2312" w:cs="仿宋_GB2312"/>
                <w:kern w:val="2"/>
              </w:rPr>
            </w:pPr>
            <w:r>
              <w:rPr>
                <w:rFonts w:hint="eastAsia" w:ascii="仿宋_GB2312" w:hAnsi="仿宋_GB2312" w:cs="仿宋_GB2312"/>
                <w:kern w:val="2"/>
              </w:rPr>
              <w:t>评分标准</w:t>
            </w:r>
          </w:p>
        </w:tc>
        <w:tc>
          <w:tcPr>
            <w:tcW w:w="375" w:type="dxa"/>
            <w:noWrap w:val="0"/>
            <w:vAlign w:val="center"/>
          </w:tcPr>
          <w:p>
            <w:pPr>
              <w:pStyle w:val="2"/>
              <w:spacing w:beforeAutospacing="0" w:afterAutospacing="0" w:line="300" w:lineRule="exact"/>
              <w:jc w:val="center"/>
              <w:rPr>
                <w:rFonts w:hint="eastAsia" w:ascii="仿宋_GB2312" w:hAnsi="仿宋_GB2312" w:cs="仿宋_GB2312"/>
                <w:kern w:val="2"/>
              </w:rPr>
            </w:pPr>
            <w:r>
              <w:rPr>
                <w:rFonts w:hint="eastAsia" w:ascii="仿宋_GB2312" w:hAnsi="仿宋_GB2312" w:cs="仿宋_GB2312"/>
                <w:kern w:val="2"/>
              </w:rPr>
              <w:t>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blCellSpacing w:w="0" w:type="dxa"/>
        </w:trPr>
        <w:tc>
          <w:tcPr>
            <w:tcW w:w="749" w:type="dxa"/>
            <w:vMerge w:val="restart"/>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安</w:t>
            </w:r>
          </w:p>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全</w:t>
            </w:r>
          </w:p>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标</w:t>
            </w:r>
          </w:p>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准</w:t>
            </w:r>
          </w:p>
        </w:tc>
        <w:tc>
          <w:tcPr>
            <w:tcW w:w="71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8</w:t>
            </w:r>
          </w:p>
        </w:tc>
        <w:tc>
          <w:tcPr>
            <w:tcW w:w="4039"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入口、大厅、楼层、电梯间、各类用房应设置标识，通用符号符合有关规定；（2）无障碍符号符合有关规定；（3）安全出入口、紧急出口、上下楼梯、灭火器等标识应符合有关规定；（4）标识设置应醒目且有一定导向作用</w:t>
            </w:r>
          </w:p>
        </w:tc>
        <w:tc>
          <w:tcPr>
            <w:tcW w:w="62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15</w:t>
            </w:r>
          </w:p>
        </w:tc>
        <w:tc>
          <w:tcPr>
            <w:tcW w:w="261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（1）项不符合标准扣2分；（2）项不符合标准扣2分；（3）项不符合标准扣2分；（4）项不符合标准扣2分</w:t>
            </w:r>
          </w:p>
        </w:tc>
        <w:tc>
          <w:tcPr>
            <w:tcW w:w="375"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85" w:hRule="atLeast"/>
          <w:tblCellSpacing w:w="0" w:type="dxa"/>
        </w:trPr>
        <w:tc>
          <w:tcPr>
            <w:tcW w:w="749" w:type="dxa"/>
            <w:vMerge w:val="continue"/>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1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9</w:t>
            </w:r>
          </w:p>
        </w:tc>
        <w:tc>
          <w:tcPr>
            <w:tcW w:w="4039"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加强消防设施设备运行和维护保养，每年至少全面检查一次，参加区域联防组织，实行联防联治联控，并做好维护保养；且有完整记录</w:t>
            </w:r>
          </w:p>
        </w:tc>
        <w:tc>
          <w:tcPr>
            <w:tcW w:w="62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1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未进行消防设施年度专业检测不得分，记录不规范不完整以现场查勘为准，视情况扣分</w:t>
            </w:r>
          </w:p>
        </w:tc>
        <w:tc>
          <w:tcPr>
            <w:tcW w:w="375"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77" w:hRule="atLeast"/>
          <w:tblCellSpacing w:w="0" w:type="dxa"/>
        </w:trPr>
        <w:tc>
          <w:tcPr>
            <w:tcW w:w="749" w:type="dxa"/>
            <w:vMerge w:val="continue"/>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1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11</w:t>
            </w:r>
          </w:p>
        </w:tc>
        <w:tc>
          <w:tcPr>
            <w:tcW w:w="4039"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老年人居住用房内及公共部位等区域的明显位置设置该区域的安全疏散指示图，指示图上应标明老年人容易识别的疏散路线、安全出口、人员所在位置和必要的文字说明</w:t>
            </w:r>
          </w:p>
        </w:tc>
        <w:tc>
          <w:tcPr>
            <w:tcW w:w="62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1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无安全疏散指示图不得分，设置不规范以现场查勘为准，视情况扣分</w:t>
            </w:r>
          </w:p>
        </w:tc>
        <w:tc>
          <w:tcPr>
            <w:tcW w:w="375"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49" w:type="dxa"/>
            <w:vMerge w:val="continue"/>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1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12</w:t>
            </w:r>
          </w:p>
        </w:tc>
        <w:tc>
          <w:tcPr>
            <w:tcW w:w="4039"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外窗户栅栏无全封闭</w:t>
            </w:r>
          </w:p>
        </w:tc>
        <w:tc>
          <w:tcPr>
            <w:tcW w:w="62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1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全封闭不得分（以现场查勘为准，视情况扣分）</w:t>
            </w:r>
          </w:p>
        </w:tc>
        <w:tc>
          <w:tcPr>
            <w:tcW w:w="375"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84" w:hRule="atLeast"/>
          <w:tblCellSpacing w:w="0" w:type="dxa"/>
        </w:trPr>
        <w:tc>
          <w:tcPr>
            <w:tcW w:w="749" w:type="dxa"/>
            <w:vMerge w:val="continue"/>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1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13</w:t>
            </w:r>
          </w:p>
        </w:tc>
        <w:tc>
          <w:tcPr>
            <w:tcW w:w="4039"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无裸露、老化的电线，安装漏电装置；禁止随意拉接和安装用电线路和设备</w:t>
            </w:r>
          </w:p>
        </w:tc>
        <w:tc>
          <w:tcPr>
            <w:tcW w:w="62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1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不符合要求不得分</w:t>
            </w:r>
          </w:p>
        </w:tc>
        <w:tc>
          <w:tcPr>
            <w:tcW w:w="375"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12" w:hRule="atLeast"/>
          <w:tblCellSpacing w:w="0" w:type="dxa"/>
        </w:trPr>
        <w:tc>
          <w:tcPr>
            <w:tcW w:w="749" w:type="dxa"/>
            <w:vMerge w:val="continue"/>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1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14</w:t>
            </w:r>
          </w:p>
        </w:tc>
        <w:tc>
          <w:tcPr>
            <w:tcW w:w="4039"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设备放置安全，如：开水炉、氧气瓶、热水瓶、饮水机、微波炉等设备放置在安全位置，并处于受控状态</w:t>
            </w:r>
          </w:p>
        </w:tc>
        <w:tc>
          <w:tcPr>
            <w:tcW w:w="62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1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以现场查勘为准，视情况扣分</w:t>
            </w:r>
          </w:p>
        </w:tc>
        <w:tc>
          <w:tcPr>
            <w:tcW w:w="375"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tblCellSpacing w:w="0" w:type="dxa"/>
        </w:trPr>
        <w:tc>
          <w:tcPr>
            <w:tcW w:w="749" w:type="dxa"/>
            <w:vMerge w:val="continue"/>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1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15</w:t>
            </w:r>
          </w:p>
        </w:tc>
        <w:tc>
          <w:tcPr>
            <w:tcW w:w="4039"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设立吸烟室，人员住宿和公共场所禁止吸烟</w:t>
            </w:r>
          </w:p>
        </w:tc>
        <w:tc>
          <w:tcPr>
            <w:tcW w:w="627" w:type="dxa"/>
            <w:noWrap w:val="0"/>
            <w:vAlign w:val="center"/>
          </w:tcPr>
          <w:p>
            <w:pPr>
              <w:pStyle w:val="2"/>
              <w:spacing w:beforeAutospacing="0" w:afterAutospacing="0" w:line="200" w:lineRule="exact"/>
              <w:jc w:val="center"/>
              <w:rPr>
                <w:rFonts w:ascii="仿宋_GB2312" w:hAnsi="仿宋_GB2312" w:cs="仿宋_GB2312"/>
                <w:kern w:val="2"/>
                <w:sz w:val="21"/>
                <w:szCs w:val="21"/>
              </w:rPr>
            </w:pPr>
            <w:r>
              <w:rPr>
                <w:rFonts w:hint="eastAsia" w:ascii="仿宋_GB2312" w:hAnsi="仿宋_GB2312" w:cs="仿宋_GB2312"/>
                <w:kern w:val="2"/>
                <w:sz w:val="21"/>
                <w:szCs w:val="21"/>
              </w:rPr>
              <w:t>10</w:t>
            </w:r>
          </w:p>
        </w:tc>
        <w:tc>
          <w:tcPr>
            <w:tcW w:w="261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不符合要求不得分</w:t>
            </w:r>
          </w:p>
        </w:tc>
        <w:tc>
          <w:tcPr>
            <w:tcW w:w="375"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83" w:hRule="atLeast"/>
          <w:tblCellSpacing w:w="0" w:type="dxa"/>
        </w:trPr>
        <w:tc>
          <w:tcPr>
            <w:tcW w:w="749" w:type="dxa"/>
            <w:vMerge w:val="continue"/>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1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16</w:t>
            </w:r>
          </w:p>
        </w:tc>
        <w:tc>
          <w:tcPr>
            <w:tcW w:w="4039"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厨房燃气安全应符合国家相关规定，设置可燃气体报警装置；（2）管道燃气、液化气钢瓶等设施、设备的安装存放（液化气钢瓶）与使用应符合消防及燃气专业机构的要求，并出具检查验收合格证明；（3）燃气设施清洁干净卫生，周围无可燃物品和其他杂物堆放</w:t>
            </w:r>
          </w:p>
        </w:tc>
        <w:tc>
          <w:tcPr>
            <w:tcW w:w="62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15</w:t>
            </w:r>
          </w:p>
        </w:tc>
        <w:tc>
          <w:tcPr>
            <w:tcW w:w="261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三项各占5分，一项不符合扣5分</w:t>
            </w:r>
          </w:p>
        </w:tc>
        <w:tc>
          <w:tcPr>
            <w:tcW w:w="375"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44" w:hRule="atLeast"/>
          <w:tblCellSpacing w:w="0" w:type="dxa"/>
        </w:trPr>
        <w:tc>
          <w:tcPr>
            <w:tcW w:w="749" w:type="dxa"/>
            <w:vMerge w:val="continue"/>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1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17</w:t>
            </w:r>
          </w:p>
        </w:tc>
        <w:tc>
          <w:tcPr>
            <w:tcW w:w="4039"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建立特种设施、设备台帐（电梯、空调、锅炉等）；特种设备定期接受专业单位检验</w:t>
            </w:r>
          </w:p>
        </w:tc>
        <w:tc>
          <w:tcPr>
            <w:tcW w:w="62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1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无台账资料不得分，资料不全或欠规范以现场查勘为准</w:t>
            </w:r>
          </w:p>
        </w:tc>
        <w:tc>
          <w:tcPr>
            <w:tcW w:w="375" w:type="dxa"/>
            <w:noWrap w:val="0"/>
            <w:vAlign w:val="center"/>
          </w:tcPr>
          <w:p>
            <w:pPr>
              <w:pStyle w:val="2"/>
              <w:spacing w:beforeAutospacing="0" w:afterAutospacing="0" w:line="200" w:lineRule="exact"/>
              <w:rPr>
                <w:rFonts w:hint="eastAsia" w:ascii="仿宋_GB2312" w:hAnsi="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4" w:hRule="atLeast"/>
          <w:tblCellSpacing w:w="0" w:type="dxa"/>
        </w:trPr>
        <w:tc>
          <w:tcPr>
            <w:tcW w:w="749" w:type="dxa"/>
            <w:vMerge w:val="continue"/>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1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18</w:t>
            </w:r>
          </w:p>
        </w:tc>
        <w:tc>
          <w:tcPr>
            <w:tcW w:w="4039"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室、内外的健身器材位置处应标注使用说明和禁忌，有安全防护措施</w:t>
            </w:r>
          </w:p>
        </w:tc>
        <w:tc>
          <w:tcPr>
            <w:tcW w:w="62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1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不符合要求不得分</w:t>
            </w:r>
          </w:p>
        </w:tc>
        <w:tc>
          <w:tcPr>
            <w:tcW w:w="375" w:type="dxa"/>
            <w:noWrap w:val="0"/>
            <w:vAlign w:val="center"/>
          </w:tcPr>
          <w:p>
            <w:pPr>
              <w:pStyle w:val="2"/>
              <w:spacing w:beforeAutospacing="0" w:afterAutospacing="0" w:line="200" w:lineRule="exact"/>
              <w:rPr>
                <w:rFonts w:hint="eastAsia" w:ascii="仿宋_GB2312" w:hAnsi="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blCellSpacing w:w="0" w:type="dxa"/>
        </w:trPr>
        <w:tc>
          <w:tcPr>
            <w:tcW w:w="749" w:type="dxa"/>
            <w:vMerge w:val="continue"/>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1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19</w:t>
            </w:r>
          </w:p>
        </w:tc>
        <w:tc>
          <w:tcPr>
            <w:tcW w:w="4039"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院长参加并通过相关部门安全培训</w:t>
            </w:r>
          </w:p>
        </w:tc>
        <w:tc>
          <w:tcPr>
            <w:tcW w:w="62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1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未培训不得分</w:t>
            </w:r>
          </w:p>
        </w:tc>
        <w:tc>
          <w:tcPr>
            <w:tcW w:w="375" w:type="dxa"/>
            <w:noWrap w:val="0"/>
            <w:vAlign w:val="center"/>
          </w:tcPr>
          <w:p>
            <w:pPr>
              <w:pStyle w:val="2"/>
              <w:spacing w:beforeAutospacing="0" w:afterAutospacing="0" w:line="200" w:lineRule="exact"/>
              <w:rPr>
                <w:rFonts w:hint="eastAsia" w:ascii="仿宋_GB2312" w:hAnsi="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2" w:hRule="atLeast"/>
          <w:tblCellSpacing w:w="0" w:type="dxa"/>
        </w:trPr>
        <w:tc>
          <w:tcPr>
            <w:tcW w:w="749" w:type="dxa"/>
            <w:vMerge w:val="continue"/>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1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20</w:t>
            </w:r>
          </w:p>
        </w:tc>
        <w:tc>
          <w:tcPr>
            <w:tcW w:w="4039"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院部对员工组织安全培训，针对本院所制定的各项“突发事件预案”开展定期演练，并有完整记录和照片</w:t>
            </w:r>
          </w:p>
        </w:tc>
        <w:tc>
          <w:tcPr>
            <w:tcW w:w="62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1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未组织员工安全培训及未进行“突发事件预案”演练不得分，图片及文字记录不规范不完整，以现场查勘为准，视情况扣分</w:t>
            </w:r>
          </w:p>
        </w:tc>
        <w:tc>
          <w:tcPr>
            <w:tcW w:w="375" w:type="dxa"/>
            <w:noWrap w:val="0"/>
            <w:vAlign w:val="center"/>
          </w:tcPr>
          <w:p>
            <w:pPr>
              <w:pStyle w:val="2"/>
              <w:spacing w:beforeAutospacing="0" w:afterAutospacing="0" w:line="200" w:lineRule="exact"/>
              <w:rPr>
                <w:rFonts w:hint="eastAsia" w:ascii="仿宋_GB2312" w:hAnsi="仿宋_GB2312" w:cs="仿宋_GB2312"/>
                <w:kern w:val="2"/>
                <w:sz w:val="21"/>
                <w:szCs w:val="21"/>
              </w:rPr>
            </w:pPr>
          </w:p>
        </w:tc>
      </w:tr>
    </w:tbl>
    <w:tbl>
      <w:tblPr>
        <w:tblStyle w:val="3"/>
        <w:tblpPr w:leftFromText="180" w:rightFromText="180" w:vertAnchor="text" w:horzAnchor="page" w:tblpX="1401" w:tblpY="432"/>
        <w:tblOverlap w:val="never"/>
        <w:tblW w:w="0" w:type="auto"/>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82"/>
        <w:gridCol w:w="750"/>
        <w:gridCol w:w="4173"/>
        <w:gridCol w:w="527"/>
        <w:gridCol w:w="2698"/>
        <w:gridCol w:w="5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9" w:hRule="atLeast"/>
          <w:tblCellSpacing w:w="0" w:type="dxa"/>
        </w:trPr>
        <w:tc>
          <w:tcPr>
            <w:tcW w:w="582" w:type="dxa"/>
            <w:noWrap w:val="0"/>
            <w:vAlign w:val="center"/>
          </w:tcPr>
          <w:p>
            <w:pPr>
              <w:pStyle w:val="2"/>
              <w:spacing w:beforeAutospacing="0" w:afterAutospacing="0" w:line="300" w:lineRule="exact"/>
              <w:jc w:val="center"/>
              <w:rPr>
                <w:rFonts w:hint="eastAsia" w:ascii="仿宋_GB2312" w:hAnsi="仿宋_GB2312" w:cs="仿宋_GB2312"/>
                <w:kern w:val="2"/>
              </w:rPr>
            </w:pPr>
            <w:r>
              <w:rPr>
                <w:rFonts w:hint="eastAsia" w:ascii="仿宋_GB2312" w:hAnsi="仿宋_GB2312" w:cs="仿宋_GB2312"/>
                <w:kern w:val="2"/>
              </w:rPr>
              <w:t>类目</w:t>
            </w:r>
          </w:p>
        </w:tc>
        <w:tc>
          <w:tcPr>
            <w:tcW w:w="750" w:type="dxa"/>
            <w:noWrap w:val="0"/>
            <w:vAlign w:val="center"/>
          </w:tcPr>
          <w:p>
            <w:pPr>
              <w:pStyle w:val="2"/>
              <w:spacing w:beforeAutospacing="0" w:afterAutospacing="0" w:line="300" w:lineRule="exact"/>
              <w:jc w:val="center"/>
              <w:rPr>
                <w:rFonts w:hint="eastAsia" w:ascii="仿宋_GB2312" w:hAnsi="仿宋_GB2312" w:cs="仿宋_GB2312"/>
                <w:kern w:val="2"/>
              </w:rPr>
            </w:pPr>
            <w:r>
              <w:rPr>
                <w:rFonts w:hint="eastAsia" w:ascii="仿宋_GB2312" w:hAnsi="仿宋_GB2312" w:cs="仿宋_GB2312"/>
                <w:kern w:val="2"/>
              </w:rPr>
              <w:t>序号</w:t>
            </w:r>
          </w:p>
        </w:tc>
        <w:tc>
          <w:tcPr>
            <w:tcW w:w="4173" w:type="dxa"/>
            <w:noWrap w:val="0"/>
            <w:vAlign w:val="center"/>
          </w:tcPr>
          <w:p>
            <w:pPr>
              <w:pStyle w:val="2"/>
              <w:spacing w:beforeAutospacing="0" w:afterAutospacing="0" w:line="300" w:lineRule="exact"/>
              <w:jc w:val="center"/>
              <w:rPr>
                <w:rFonts w:hint="eastAsia" w:ascii="仿宋_GB2312" w:hAnsi="仿宋_GB2312" w:cs="仿宋_GB2312"/>
                <w:kern w:val="2"/>
              </w:rPr>
            </w:pPr>
            <w:r>
              <w:rPr>
                <w:rFonts w:hint="eastAsia" w:ascii="仿宋_GB2312" w:hAnsi="仿宋_GB2312" w:cs="仿宋_GB2312"/>
                <w:kern w:val="2"/>
              </w:rPr>
              <w:t>标准要求</w:t>
            </w:r>
          </w:p>
        </w:tc>
        <w:tc>
          <w:tcPr>
            <w:tcW w:w="527" w:type="dxa"/>
            <w:noWrap w:val="0"/>
            <w:vAlign w:val="center"/>
          </w:tcPr>
          <w:p>
            <w:pPr>
              <w:pStyle w:val="2"/>
              <w:spacing w:beforeAutospacing="0" w:afterAutospacing="0" w:line="300" w:lineRule="exact"/>
              <w:jc w:val="center"/>
              <w:rPr>
                <w:rFonts w:hint="eastAsia" w:ascii="仿宋_GB2312" w:hAnsi="仿宋_GB2312" w:cs="仿宋_GB2312"/>
                <w:kern w:val="2"/>
              </w:rPr>
            </w:pPr>
            <w:r>
              <w:rPr>
                <w:rFonts w:hint="eastAsia" w:ascii="仿宋_GB2312" w:hAnsi="仿宋_GB2312" w:cs="仿宋_GB2312"/>
                <w:kern w:val="2"/>
              </w:rPr>
              <w:t>分值</w:t>
            </w:r>
          </w:p>
        </w:tc>
        <w:tc>
          <w:tcPr>
            <w:tcW w:w="2698" w:type="dxa"/>
            <w:noWrap w:val="0"/>
            <w:vAlign w:val="center"/>
          </w:tcPr>
          <w:p>
            <w:pPr>
              <w:pStyle w:val="2"/>
              <w:spacing w:beforeAutospacing="0" w:afterAutospacing="0" w:line="300" w:lineRule="exact"/>
              <w:jc w:val="center"/>
              <w:rPr>
                <w:rFonts w:hint="eastAsia" w:ascii="仿宋_GB2312" w:hAnsi="仿宋_GB2312" w:cs="仿宋_GB2312"/>
                <w:kern w:val="2"/>
              </w:rPr>
            </w:pPr>
            <w:r>
              <w:rPr>
                <w:rFonts w:hint="eastAsia" w:ascii="仿宋_GB2312" w:hAnsi="仿宋_GB2312" w:cs="仿宋_GB2312"/>
                <w:kern w:val="2"/>
              </w:rPr>
              <w:t>评分标准</w:t>
            </w:r>
          </w:p>
        </w:tc>
        <w:tc>
          <w:tcPr>
            <w:tcW w:w="519" w:type="dxa"/>
            <w:noWrap w:val="0"/>
            <w:vAlign w:val="center"/>
          </w:tcPr>
          <w:p>
            <w:pPr>
              <w:pStyle w:val="2"/>
              <w:spacing w:beforeAutospacing="0" w:afterAutospacing="0" w:line="300" w:lineRule="exact"/>
              <w:jc w:val="center"/>
              <w:rPr>
                <w:rFonts w:hint="eastAsia" w:ascii="仿宋_GB2312" w:hAnsi="仿宋_GB2312" w:cs="仿宋_GB2312"/>
                <w:kern w:val="2"/>
              </w:rPr>
            </w:pPr>
            <w:r>
              <w:rPr>
                <w:rFonts w:hint="eastAsia" w:ascii="仿宋_GB2312" w:hAnsi="仿宋_GB2312" w:cs="仿宋_GB2312"/>
                <w:kern w:val="2"/>
              </w:rPr>
              <w:t>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79" w:hRule="atLeast"/>
          <w:tblCellSpacing w:w="0" w:type="dxa"/>
        </w:trPr>
        <w:tc>
          <w:tcPr>
            <w:tcW w:w="582" w:type="dxa"/>
            <w:vMerge w:val="restart"/>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安</w:t>
            </w:r>
          </w:p>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全</w:t>
            </w:r>
          </w:p>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标</w:t>
            </w:r>
          </w:p>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准</w:t>
            </w:r>
          </w:p>
        </w:tc>
        <w:tc>
          <w:tcPr>
            <w:tcW w:w="750"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21</w:t>
            </w:r>
          </w:p>
        </w:tc>
        <w:tc>
          <w:tcPr>
            <w:tcW w:w="417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每月组织一次安全工作自查，自查项目覆盖全院各项工作（如：、照护项目操作安全、食品采购及安全设施等）安全工作自查记录完整；</w:t>
            </w:r>
          </w:p>
        </w:tc>
        <w:tc>
          <w:tcPr>
            <w:tcW w:w="52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98"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无每月组织一次安全工作自查及自查项目未覆盖全院各项工作不得分；安全工作自查记录不规范不完整以现场查勘为准，视情况扣分</w:t>
            </w:r>
          </w:p>
        </w:tc>
        <w:tc>
          <w:tcPr>
            <w:tcW w:w="519"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25" w:hRule="atLeast"/>
          <w:tblCellSpacing w:w="0" w:type="dxa"/>
        </w:trPr>
        <w:tc>
          <w:tcPr>
            <w:tcW w:w="582" w:type="dxa"/>
            <w:vMerge w:val="continue"/>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22</w:t>
            </w:r>
          </w:p>
        </w:tc>
        <w:tc>
          <w:tcPr>
            <w:tcW w:w="417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制定消防安全、特种设备设施安全、突发事件等相关管理制度、预警机制及应急预案</w:t>
            </w:r>
          </w:p>
        </w:tc>
        <w:tc>
          <w:tcPr>
            <w:tcW w:w="52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98"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未制定不得分</w:t>
            </w:r>
          </w:p>
        </w:tc>
        <w:tc>
          <w:tcPr>
            <w:tcW w:w="519" w:type="dxa"/>
            <w:noWrap w:val="0"/>
            <w:vAlign w:val="center"/>
          </w:tcPr>
          <w:p>
            <w:pPr>
              <w:pStyle w:val="2"/>
              <w:spacing w:beforeAutospacing="0" w:afterAutospacing="0" w:line="200" w:lineRule="exact"/>
              <w:rPr>
                <w:rFonts w:hint="eastAsia" w:ascii="仿宋_GB2312" w:hAnsi="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10" w:hRule="atLeast"/>
          <w:tblCellSpacing w:w="0" w:type="dxa"/>
        </w:trPr>
        <w:tc>
          <w:tcPr>
            <w:tcW w:w="582" w:type="dxa"/>
            <w:vMerge w:val="continue"/>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23</w:t>
            </w:r>
          </w:p>
        </w:tc>
        <w:tc>
          <w:tcPr>
            <w:tcW w:w="417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配备有资质的专（兼）职消防管理人员，按规定建立微型消防站，并达到“三知四会一联通，处置要在三分钟”要求</w:t>
            </w:r>
          </w:p>
        </w:tc>
        <w:tc>
          <w:tcPr>
            <w:tcW w:w="52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98"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没有配备不得分</w:t>
            </w:r>
          </w:p>
        </w:tc>
        <w:tc>
          <w:tcPr>
            <w:tcW w:w="519" w:type="dxa"/>
            <w:noWrap w:val="0"/>
            <w:vAlign w:val="center"/>
          </w:tcPr>
          <w:p>
            <w:pPr>
              <w:pStyle w:val="2"/>
              <w:spacing w:beforeAutospacing="0" w:afterAutospacing="0" w:line="200" w:lineRule="exact"/>
              <w:rPr>
                <w:rFonts w:hint="eastAsia" w:ascii="仿宋_GB2312" w:hAnsi="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930" w:hRule="atLeast"/>
          <w:tblCellSpacing w:w="0" w:type="dxa"/>
        </w:trPr>
        <w:tc>
          <w:tcPr>
            <w:tcW w:w="582" w:type="dxa"/>
            <w:vMerge w:val="continue"/>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24</w:t>
            </w:r>
          </w:p>
        </w:tc>
        <w:tc>
          <w:tcPr>
            <w:tcW w:w="417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对不需要设置自动消防系统的建筑，应当加强物防、技防措施，在人员住宿和主要活动场所安装独立式感烟火灾探测报警器和简易喷淋装置，配备应急照明和灭火器材</w:t>
            </w:r>
          </w:p>
        </w:tc>
        <w:tc>
          <w:tcPr>
            <w:tcW w:w="52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98"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根据前提未安装独立式感烟火灾探测报警器和简易喷淋装置不得分</w:t>
            </w:r>
          </w:p>
        </w:tc>
        <w:tc>
          <w:tcPr>
            <w:tcW w:w="519" w:type="dxa"/>
            <w:noWrap w:val="0"/>
            <w:vAlign w:val="center"/>
          </w:tcPr>
          <w:p>
            <w:pPr>
              <w:pStyle w:val="2"/>
              <w:spacing w:beforeAutospacing="0" w:afterAutospacing="0" w:line="200" w:lineRule="exact"/>
              <w:rPr>
                <w:rFonts w:hint="eastAsia" w:ascii="仿宋_GB2312" w:hAnsi="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95" w:hRule="atLeast"/>
          <w:tblCellSpacing w:w="0" w:type="dxa"/>
        </w:trPr>
        <w:tc>
          <w:tcPr>
            <w:tcW w:w="582" w:type="dxa"/>
            <w:vMerge w:val="continue"/>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25</w:t>
            </w:r>
          </w:p>
        </w:tc>
        <w:tc>
          <w:tcPr>
            <w:tcW w:w="417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每月至少组织一次防火检查，每日防火巡查，夜间防火巡查不少于两次，并做好记录</w:t>
            </w:r>
          </w:p>
        </w:tc>
        <w:tc>
          <w:tcPr>
            <w:tcW w:w="52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98"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未开展防火检查扣5分；每日未开展防火巡查扣5分</w:t>
            </w:r>
          </w:p>
        </w:tc>
        <w:tc>
          <w:tcPr>
            <w:tcW w:w="519" w:type="dxa"/>
            <w:noWrap w:val="0"/>
            <w:vAlign w:val="center"/>
          </w:tcPr>
          <w:p>
            <w:pPr>
              <w:pStyle w:val="2"/>
              <w:spacing w:beforeAutospacing="0" w:afterAutospacing="0" w:line="200" w:lineRule="exact"/>
              <w:rPr>
                <w:rFonts w:hint="eastAsia" w:ascii="仿宋_GB2312" w:hAnsi="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80" w:hRule="atLeast"/>
          <w:tblCellSpacing w:w="0" w:type="dxa"/>
        </w:trPr>
        <w:tc>
          <w:tcPr>
            <w:tcW w:w="582" w:type="dxa"/>
            <w:vMerge w:val="continue"/>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26</w:t>
            </w:r>
          </w:p>
        </w:tc>
        <w:tc>
          <w:tcPr>
            <w:tcW w:w="417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保持安全出口、疏散通道、消防车通道畅通，应急照明、安全疏散指示标志完好。保证常闭式防火门处于关闭状态，防火门开启方向有明显标注（推、拉）</w:t>
            </w:r>
          </w:p>
        </w:tc>
        <w:tc>
          <w:tcPr>
            <w:tcW w:w="52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15</w:t>
            </w:r>
          </w:p>
        </w:tc>
        <w:tc>
          <w:tcPr>
            <w:tcW w:w="2698"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保持安全出口、疏散通道、消防车通道堵塞不通畅扣5分；防护门开启扣5分</w:t>
            </w:r>
          </w:p>
        </w:tc>
        <w:tc>
          <w:tcPr>
            <w:tcW w:w="519" w:type="dxa"/>
            <w:noWrap w:val="0"/>
            <w:vAlign w:val="center"/>
          </w:tcPr>
          <w:p>
            <w:pPr>
              <w:pStyle w:val="2"/>
              <w:spacing w:beforeAutospacing="0" w:afterAutospacing="0" w:line="200" w:lineRule="exact"/>
              <w:rPr>
                <w:rFonts w:hint="eastAsia" w:ascii="仿宋_GB2312" w:hAnsi="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60" w:hRule="atLeast"/>
          <w:tblCellSpacing w:w="0" w:type="dxa"/>
        </w:trPr>
        <w:tc>
          <w:tcPr>
            <w:tcW w:w="582" w:type="dxa"/>
            <w:vMerge w:val="continue"/>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27</w:t>
            </w:r>
          </w:p>
        </w:tc>
        <w:tc>
          <w:tcPr>
            <w:tcW w:w="417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制定消防演练、应急疏散和灭火预案，每半年至少演练一次。每半年至少开展一次消防安全教育培训活动</w:t>
            </w:r>
          </w:p>
        </w:tc>
        <w:tc>
          <w:tcPr>
            <w:tcW w:w="52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15</w:t>
            </w:r>
          </w:p>
        </w:tc>
        <w:tc>
          <w:tcPr>
            <w:tcW w:w="2698"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未制定消防演练扣5分；未开展演练扣5分；无消防安全培训扣5分</w:t>
            </w:r>
          </w:p>
        </w:tc>
        <w:tc>
          <w:tcPr>
            <w:tcW w:w="519" w:type="dxa"/>
            <w:noWrap w:val="0"/>
            <w:vAlign w:val="center"/>
          </w:tcPr>
          <w:p>
            <w:pPr>
              <w:pStyle w:val="2"/>
              <w:spacing w:beforeAutospacing="0" w:afterAutospacing="0" w:line="200" w:lineRule="exact"/>
              <w:rPr>
                <w:rFonts w:hint="eastAsia" w:ascii="仿宋_GB2312" w:hAnsi="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90" w:hRule="atLeast"/>
          <w:tblCellSpacing w:w="0" w:type="dxa"/>
        </w:trPr>
        <w:tc>
          <w:tcPr>
            <w:tcW w:w="582" w:type="dxa"/>
            <w:vMerge w:val="continue"/>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28</w:t>
            </w:r>
          </w:p>
        </w:tc>
        <w:tc>
          <w:tcPr>
            <w:tcW w:w="417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定期组织对电器产品及其线路、管路进行维护保养和检测，及时整改电气火灾隐患，并做好记录</w:t>
            </w:r>
          </w:p>
        </w:tc>
        <w:tc>
          <w:tcPr>
            <w:tcW w:w="52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98"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无检查无记录不得分</w:t>
            </w:r>
          </w:p>
        </w:tc>
        <w:tc>
          <w:tcPr>
            <w:tcW w:w="519" w:type="dxa"/>
            <w:noWrap w:val="0"/>
            <w:vAlign w:val="center"/>
          </w:tcPr>
          <w:p>
            <w:pPr>
              <w:pStyle w:val="2"/>
              <w:spacing w:beforeAutospacing="0" w:afterAutospacing="0" w:line="200" w:lineRule="exact"/>
              <w:rPr>
                <w:rFonts w:hint="eastAsia" w:ascii="仿宋_GB2312" w:hAnsi="仿宋_GB2312" w:cs="仿宋_GB2312"/>
                <w:kern w:val="2"/>
                <w:sz w:val="21"/>
                <w:szCs w:val="21"/>
              </w:rPr>
            </w:pPr>
          </w:p>
        </w:tc>
      </w:tr>
    </w:tbl>
    <w:p>
      <w:pPr>
        <w:pStyle w:val="2"/>
        <w:spacing w:before="302" w:beforeAutospacing="0" w:after="150" w:afterAutospacing="0" w:line="300" w:lineRule="atLeast"/>
        <w:rPr>
          <w:rFonts w:cs="Times New Roman"/>
          <w:color w:val="5A5547"/>
        </w:rPr>
      </w:pPr>
    </w:p>
    <w:tbl>
      <w:tblPr>
        <w:tblStyle w:val="3"/>
        <w:tblW w:w="0" w:type="auto"/>
        <w:tblCellSpacing w:w="0" w:type="dxa"/>
        <w:tblInd w:w="-42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609"/>
        <w:gridCol w:w="34"/>
        <w:gridCol w:w="516"/>
        <w:gridCol w:w="234"/>
        <w:gridCol w:w="4112"/>
        <w:gridCol w:w="30"/>
        <w:gridCol w:w="541"/>
        <w:gridCol w:w="67"/>
        <w:gridCol w:w="2602"/>
        <w:gridCol w:w="114"/>
        <w:gridCol w:w="50"/>
        <w:gridCol w:w="434"/>
        <w:gridCol w:w="2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330" w:hRule="atLeast"/>
          <w:tblCellSpacing w:w="0" w:type="dxa"/>
        </w:trPr>
        <w:tc>
          <w:tcPr>
            <w:tcW w:w="9343" w:type="dxa"/>
            <w:gridSpan w:val="12"/>
            <w:noWrap w:val="0"/>
            <w:vAlign w:val="center"/>
          </w:tcPr>
          <w:p>
            <w:pPr>
              <w:pStyle w:val="2"/>
              <w:spacing w:beforeAutospacing="0" w:afterAutospacing="0" w:line="280" w:lineRule="exact"/>
              <w:rPr>
                <w:rFonts w:hint="eastAsia" w:ascii="仿宋_GB2312" w:hAnsi="仿宋_GB2312" w:cs="仿宋_GB2312"/>
                <w:kern w:val="2"/>
              </w:rPr>
            </w:pPr>
            <w:r>
              <w:rPr>
                <w:rFonts w:hint="eastAsia" w:ascii="仿宋_GB2312" w:hAnsi="仿宋_GB2312" w:cs="仿宋_GB2312"/>
                <w:kern w:val="2"/>
              </w:rPr>
              <w:t>养老机构等级认定（制度管理部分）250分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504" w:hRule="atLeast"/>
          <w:tblCellSpacing w:w="0" w:type="dxa"/>
        </w:trPr>
        <w:tc>
          <w:tcPr>
            <w:tcW w:w="643" w:type="dxa"/>
            <w:gridSpan w:val="2"/>
            <w:noWrap w:val="0"/>
            <w:vAlign w:val="center"/>
          </w:tcPr>
          <w:p>
            <w:pPr>
              <w:pStyle w:val="2"/>
              <w:spacing w:beforeAutospacing="0" w:afterAutospacing="0" w:line="280" w:lineRule="exact"/>
              <w:jc w:val="center"/>
              <w:rPr>
                <w:rFonts w:hint="eastAsia" w:ascii="仿宋_GB2312" w:hAnsi="仿宋_GB2312" w:cs="仿宋_GB2312"/>
                <w:kern w:val="2"/>
              </w:rPr>
            </w:pPr>
            <w:r>
              <w:rPr>
                <w:rFonts w:hint="eastAsia" w:ascii="仿宋_GB2312" w:hAnsi="仿宋_GB2312" w:cs="仿宋_GB2312"/>
                <w:kern w:val="2"/>
              </w:rPr>
              <w:t>类目</w:t>
            </w:r>
          </w:p>
        </w:tc>
        <w:tc>
          <w:tcPr>
            <w:tcW w:w="750" w:type="dxa"/>
            <w:gridSpan w:val="2"/>
            <w:noWrap w:val="0"/>
            <w:vAlign w:val="center"/>
          </w:tcPr>
          <w:p>
            <w:pPr>
              <w:pStyle w:val="2"/>
              <w:spacing w:beforeAutospacing="0" w:afterAutospacing="0" w:line="280" w:lineRule="exact"/>
              <w:jc w:val="center"/>
              <w:rPr>
                <w:rFonts w:hint="eastAsia" w:ascii="仿宋_GB2312" w:hAnsi="仿宋_GB2312" w:cs="仿宋_GB2312"/>
                <w:kern w:val="2"/>
              </w:rPr>
            </w:pPr>
            <w:r>
              <w:rPr>
                <w:rFonts w:hint="eastAsia" w:ascii="仿宋_GB2312" w:hAnsi="仿宋_GB2312" w:cs="仿宋_GB2312"/>
                <w:kern w:val="2"/>
              </w:rPr>
              <w:t>序号</w:t>
            </w:r>
          </w:p>
        </w:tc>
        <w:tc>
          <w:tcPr>
            <w:tcW w:w="4112" w:type="dxa"/>
            <w:noWrap w:val="0"/>
            <w:vAlign w:val="center"/>
          </w:tcPr>
          <w:p>
            <w:pPr>
              <w:pStyle w:val="2"/>
              <w:spacing w:beforeAutospacing="0" w:afterAutospacing="0" w:line="280" w:lineRule="exact"/>
              <w:jc w:val="center"/>
              <w:rPr>
                <w:rFonts w:hint="eastAsia" w:ascii="仿宋_GB2312" w:hAnsi="仿宋_GB2312" w:cs="仿宋_GB2312"/>
                <w:kern w:val="2"/>
              </w:rPr>
            </w:pPr>
            <w:r>
              <w:rPr>
                <w:rFonts w:hint="eastAsia" w:ascii="仿宋_GB2312" w:hAnsi="仿宋_GB2312" w:cs="仿宋_GB2312"/>
                <w:kern w:val="2"/>
              </w:rPr>
              <w:t>标准要求</w:t>
            </w:r>
          </w:p>
        </w:tc>
        <w:tc>
          <w:tcPr>
            <w:tcW w:w="638" w:type="dxa"/>
            <w:gridSpan w:val="3"/>
            <w:noWrap w:val="0"/>
            <w:vAlign w:val="center"/>
          </w:tcPr>
          <w:p>
            <w:pPr>
              <w:pStyle w:val="2"/>
              <w:spacing w:beforeAutospacing="0" w:afterAutospacing="0" w:line="280" w:lineRule="exact"/>
              <w:jc w:val="center"/>
              <w:rPr>
                <w:rFonts w:hint="eastAsia" w:ascii="仿宋_GB2312" w:hAnsi="仿宋_GB2312" w:cs="仿宋_GB2312"/>
                <w:kern w:val="2"/>
              </w:rPr>
            </w:pPr>
            <w:r>
              <w:rPr>
                <w:rFonts w:hint="eastAsia" w:ascii="仿宋_GB2312" w:hAnsi="仿宋_GB2312" w:cs="仿宋_GB2312"/>
                <w:kern w:val="2"/>
              </w:rPr>
              <w:t>分值</w:t>
            </w:r>
          </w:p>
        </w:tc>
        <w:tc>
          <w:tcPr>
            <w:tcW w:w="2602" w:type="dxa"/>
            <w:noWrap w:val="0"/>
            <w:vAlign w:val="center"/>
          </w:tcPr>
          <w:p>
            <w:pPr>
              <w:pStyle w:val="2"/>
              <w:spacing w:beforeAutospacing="0" w:afterAutospacing="0" w:line="280" w:lineRule="exact"/>
              <w:jc w:val="center"/>
              <w:rPr>
                <w:rFonts w:hint="eastAsia" w:ascii="仿宋_GB2312" w:hAnsi="仿宋_GB2312" w:cs="仿宋_GB2312"/>
                <w:kern w:val="2"/>
              </w:rPr>
            </w:pPr>
            <w:r>
              <w:rPr>
                <w:rFonts w:hint="eastAsia" w:ascii="仿宋_GB2312" w:hAnsi="仿宋_GB2312" w:cs="仿宋_GB2312"/>
                <w:kern w:val="2"/>
              </w:rPr>
              <w:t>评分标准</w:t>
            </w:r>
          </w:p>
        </w:tc>
        <w:tc>
          <w:tcPr>
            <w:tcW w:w="598" w:type="dxa"/>
            <w:gridSpan w:val="3"/>
            <w:noWrap w:val="0"/>
            <w:vAlign w:val="center"/>
          </w:tcPr>
          <w:p>
            <w:pPr>
              <w:pStyle w:val="2"/>
              <w:spacing w:beforeAutospacing="0" w:afterAutospacing="0" w:line="280" w:lineRule="exact"/>
              <w:jc w:val="center"/>
              <w:rPr>
                <w:rFonts w:hint="eastAsia" w:ascii="仿宋_GB2312" w:hAnsi="仿宋_GB2312" w:cs="仿宋_GB2312"/>
                <w:kern w:val="2"/>
              </w:rPr>
            </w:pPr>
            <w:r>
              <w:rPr>
                <w:rFonts w:hint="eastAsia" w:ascii="仿宋_GB2312" w:hAnsi="仿宋_GB2312" w:cs="仿宋_GB2312"/>
                <w:kern w:val="2"/>
              </w:rPr>
              <w:t>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499" w:hRule="atLeast"/>
          <w:tblCellSpacing w:w="0" w:type="dxa"/>
        </w:trPr>
        <w:tc>
          <w:tcPr>
            <w:tcW w:w="643" w:type="dxa"/>
            <w:gridSpan w:val="2"/>
            <w:vMerge w:val="restart"/>
            <w:tcBorders>
              <w:bottom w:val="nil"/>
            </w:tcBorders>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 xml:space="preserve"> 制</w:t>
            </w:r>
          </w:p>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 xml:space="preserve"> 度</w:t>
            </w:r>
          </w:p>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 xml:space="preserve"> 管</w:t>
            </w:r>
          </w:p>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 xml:space="preserve"> 理</w:t>
            </w:r>
          </w:p>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院长（常务院长）应具有大专以上学历，具有养老服务专业知识，每年参加养老服务相关培训不少于一次。</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院长无大专学历扣5分，继续教育少于一次扣分5。</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497" w:hRule="atLeast"/>
          <w:tblCellSpacing w:w="0" w:type="dxa"/>
        </w:trPr>
        <w:tc>
          <w:tcPr>
            <w:tcW w:w="643" w:type="dxa"/>
            <w:gridSpan w:val="2"/>
            <w:vMerge w:val="continue"/>
            <w:tcBorders>
              <w:top w:val="nil"/>
              <w:bottom w:val="nil"/>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有专职医护人员；非内设医疗机构医护人员持有资格证书，内设医疗机构医护人员持有资格证、执业证。</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无医护人员不得分；养老机构有一名医护人员得2分；两名医护人员得5分；三名及以上医护人员得10分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430" w:hRule="atLeast"/>
          <w:tblCellSpacing w:w="0" w:type="dxa"/>
        </w:trPr>
        <w:tc>
          <w:tcPr>
            <w:tcW w:w="643" w:type="dxa"/>
            <w:gridSpan w:val="2"/>
            <w:vMerge w:val="continue"/>
            <w:tcBorders>
              <w:top w:val="nil"/>
              <w:bottom w:val="nil"/>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3</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社工、心理咨询师（有社工、心理咨询师证书）</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养老机构有一名兼职社工师或心理咨询师得2分；一名专职社工或心理咨询师得5分；两名及以上得10分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342" w:hRule="atLeast"/>
          <w:tblCellSpacing w:w="0" w:type="dxa"/>
        </w:trPr>
        <w:tc>
          <w:tcPr>
            <w:tcW w:w="643" w:type="dxa"/>
            <w:gridSpan w:val="2"/>
            <w:vMerge w:val="continue"/>
            <w:tcBorders>
              <w:top w:val="nil"/>
              <w:bottom w:val="nil"/>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4</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营养师</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养老机构有一名兼职营养师得5分；专职营养师得10分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765" w:hRule="atLeast"/>
          <w:tblCellSpacing w:w="0" w:type="dxa"/>
        </w:trPr>
        <w:tc>
          <w:tcPr>
            <w:tcW w:w="643" w:type="dxa"/>
            <w:gridSpan w:val="2"/>
            <w:vMerge w:val="continue"/>
            <w:tcBorders>
              <w:top w:val="nil"/>
              <w:bottom w:val="nil"/>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康复师（有康复师证书）</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养老机构有一名兼职康复师得5分；专职康复师得10分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660" w:hRule="atLeast"/>
          <w:tblCellSpacing w:w="0" w:type="dxa"/>
        </w:trPr>
        <w:tc>
          <w:tcPr>
            <w:tcW w:w="643" w:type="dxa"/>
            <w:gridSpan w:val="2"/>
            <w:vMerge w:val="continue"/>
            <w:tcBorders>
              <w:top w:val="nil"/>
              <w:bottom w:val="nil"/>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6</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厨师、食堂工作人员每年有一次体检并取得健康证明</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无健康证明，不得分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213" w:hRule="atLeast"/>
          <w:tblCellSpacing w:w="0" w:type="dxa"/>
        </w:trPr>
        <w:tc>
          <w:tcPr>
            <w:tcW w:w="643" w:type="dxa"/>
            <w:gridSpan w:val="2"/>
            <w:vMerge w:val="continue"/>
            <w:tcBorders>
              <w:top w:val="nil"/>
              <w:bottom w:val="nil"/>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7</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（1）养老护理人员应当接受专业技能培训，经考核合格后持证上岗；（2）持有国家职业资格证书的养老护理员占养老护理员总数的比例不少于30%。</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无证上岗扣5分，占比少于30%的，视情况扣分。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500" w:hRule="atLeast"/>
          <w:tblCellSpacing w:w="0" w:type="dxa"/>
        </w:trPr>
        <w:tc>
          <w:tcPr>
            <w:tcW w:w="643" w:type="dxa"/>
            <w:gridSpan w:val="2"/>
            <w:vMerge w:val="continue"/>
            <w:tcBorders>
              <w:top w:val="nil"/>
              <w:bottom w:val="nil"/>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8</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护理员与入住老人配比比例符合要求</w:t>
            </w:r>
          </w:p>
        </w:tc>
        <w:tc>
          <w:tcPr>
            <w:tcW w:w="638" w:type="dxa"/>
            <w:gridSpan w:val="3"/>
            <w:noWrap w:val="0"/>
            <w:vAlign w:val="top"/>
          </w:tcPr>
          <w:p>
            <w:pPr>
              <w:pStyle w:val="2"/>
              <w:spacing w:beforeAutospacing="0" w:afterAutospacing="0" w:line="180" w:lineRule="exact"/>
              <w:jc w:val="both"/>
              <w:rPr>
                <w:rFonts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按规定比例，每少5%，扣1分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197" w:hRule="atLeast"/>
          <w:tblCellSpacing w:w="0" w:type="dxa"/>
        </w:trPr>
        <w:tc>
          <w:tcPr>
            <w:tcW w:w="643" w:type="dxa"/>
            <w:gridSpan w:val="2"/>
            <w:vMerge w:val="continue"/>
            <w:tcBorders>
              <w:top w:val="nil"/>
              <w:bottom w:val="nil"/>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9</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建立行政管理制度。（1）按照有关规定和要求制定的适合实际工作需要的规章制度；（2）制订各部门岗位职责，有完整的各项规章制度且有资料可查。</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未建立不得分，建立一项得5分。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795" w:hRule="atLeast"/>
          <w:tblCellSpacing w:w="0" w:type="dxa"/>
        </w:trPr>
        <w:tc>
          <w:tcPr>
            <w:tcW w:w="643" w:type="dxa"/>
            <w:gridSpan w:val="2"/>
            <w:vMerge w:val="continue"/>
            <w:tcBorders>
              <w:top w:val="nil"/>
              <w:bottom w:val="nil"/>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建立人力资源管理制度。定期开展人员培训，培训内容包括以人为本、爱老尊老孝老服务理念、相关政策法规及管理服务技能。</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没有开展不得分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600" w:hRule="atLeast"/>
          <w:tblCellSpacing w:w="0" w:type="dxa"/>
        </w:trPr>
        <w:tc>
          <w:tcPr>
            <w:tcW w:w="643" w:type="dxa"/>
            <w:gridSpan w:val="2"/>
            <w:vMerge w:val="continue"/>
            <w:tcBorders>
              <w:top w:val="nil"/>
              <w:bottom w:val="nil"/>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11</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保留提供服务文件和记录。记录应及时、准确、真实、完整、责任人签章应完整。</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没有不得分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870" w:hRule="atLeast"/>
          <w:tblCellSpacing w:w="0" w:type="dxa"/>
        </w:trPr>
        <w:tc>
          <w:tcPr>
            <w:tcW w:w="643" w:type="dxa"/>
            <w:gridSpan w:val="2"/>
            <w:vMerge w:val="continue"/>
            <w:tcBorders>
              <w:top w:val="single" w:color="auto" w:sz="4" w:space="0"/>
              <w:bottom w:val="nil"/>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tcBorders>
              <w:top w:val="single" w:color="auto" w:sz="4" w:space="0"/>
            </w:tcBorders>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12</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（1）与入住老年人亲属或单位签订具有法律效力的入住协议；（2）建立出院制度，协助老年人及家属办理出院手续；</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没有一项扣5分，扣完为止。</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1272" w:hRule="atLeast"/>
          <w:tblCellSpacing w:w="0" w:type="dxa"/>
        </w:trPr>
        <w:tc>
          <w:tcPr>
            <w:tcW w:w="643" w:type="dxa"/>
            <w:gridSpan w:val="2"/>
            <w:vMerge w:val="restart"/>
            <w:tcBorders>
              <w:top w:val="nil"/>
              <w:left w:val="single" w:color="auto" w:sz="4" w:space="0"/>
            </w:tcBorders>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制</w:t>
            </w:r>
          </w:p>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度管</w:t>
            </w:r>
          </w:p>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理</w:t>
            </w:r>
          </w:p>
          <w:p>
            <w:pPr>
              <w:pStyle w:val="2"/>
              <w:spacing w:beforeAutospacing="0" w:afterAutospacing="0" w:line="200" w:lineRule="exact"/>
              <w:jc w:val="center"/>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13</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建立服务管理制度，制定入院评估制度，做好老年人健康状况评估；（2）根据服务协议和老年人的生活自理能力，进行评估，实施分级分类照护服务，根据老年人需求特点提供服务；（3）对初次入住老年人开展试住服务。</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15</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未对入住服务对象进行评估的不得分；照护等级的评定与实际状况不相符，导致照护等级评定不合理扣5分；未试住的扣5分。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489" w:hRule="atLeast"/>
          <w:tblCellSpacing w:w="0" w:type="dxa"/>
        </w:trPr>
        <w:tc>
          <w:tcPr>
            <w:tcW w:w="643" w:type="dxa"/>
            <w:gridSpan w:val="2"/>
            <w:vMerge w:val="continue"/>
            <w:tcBorders>
              <w:left w:val="single" w:color="auto" w:sz="4" w:space="0"/>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14</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建立老年人生活和健康档案，包括入住合同、入住人员及其家属（监护人）或代理人（机构）基本信息、老年人身份证及户口本复印件等有关资料，并妥善保存</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未建立不得分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125" w:hRule="atLeast"/>
          <w:tblCellSpacing w:w="0" w:type="dxa"/>
        </w:trPr>
        <w:tc>
          <w:tcPr>
            <w:tcW w:w="643" w:type="dxa"/>
            <w:gridSpan w:val="2"/>
            <w:vMerge w:val="continue"/>
            <w:tcBorders>
              <w:left w:val="single" w:color="auto" w:sz="4" w:space="0"/>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15</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有介绍机构的宣传栏和手册，公开与机构服务相关的信息，包括：执业证照、地理位置、床位信息、服务范围、服务时间、基本设施设备情况、收费标准、入出院流程、日常照护项目。</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无宣传栏和手册，不得分，内容不全，扣5分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721" w:hRule="atLeast"/>
          <w:tblCellSpacing w:w="0" w:type="dxa"/>
        </w:trPr>
        <w:tc>
          <w:tcPr>
            <w:tcW w:w="643" w:type="dxa"/>
            <w:gridSpan w:val="2"/>
            <w:vMerge w:val="continue"/>
            <w:tcBorders>
              <w:left w:val="single" w:color="auto" w:sz="4" w:space="0"/>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16</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（1）建立员工绩效考核制度，优秀员工奖等激励制度；（2）建立行政查房制度，确保每周1次的查房且有记录可查，对发现的问题有整改措施及反馈。</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无考核制度扣5分；无行政查房记录，漏查及记录不规范扣5分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1299" w:hRule="atLeast"/>
          <w:tblCellSpacing w:w="0" w:type="dxa"/>
        </w:trPr>
        <w:tc>
          <w:tcPr>
            <w:tcW w:w="643" w:type="dxa"/>
            <w:gridSpan w:val="2"/>
            <w:vMerge w:val="continue"/>
            <w:tcBorders>
              <w:left w:val="single" w:color="auto" w:sz="4" w:space="0"/>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17</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建立评价与改进制度。拓宽服务投诉渠道，制定投诉处理程序，投诉渠道通畅并张贴于机构醒目处。有负责接待和处理老年人投诉建议的专门部门、人员或电话号码；对投诉信息的核实、处理、反馈及时并有记录。</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没有不得分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352" w:hRule="atLeast"/>
          <w:tblCellSpacing w:w="0" w:type="dxa"/>
        </w:trPr>
        <w:tc>
          <w:tcPr>
            <w:tcW w:w="643" w:type="dxa"/>
            <w:gridSpan w:val="2"/>
            <w:vMerge w:val="continue"/>
            <w:tcBorders>
              <w:left w:val="single" w:color="auto" w:sz="4" w:space="0"/>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18</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养老院服务费原则上按月度收取，价格变动应提前告知老年人，不得强制收费（收住社会老年人的敬老院应符合此要求）</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视情况扣分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615" w:hRule="atLeast"/>
          <w:tblCellSpacing w:w="0" w:type="dxa"/>
        </w:trPr>
        <w:tc>
          <w:tcPr>
            <w:tcW w:w="643" w:type="dxa"/>
            <w:gridSpan w:val="2"/>
            <w:vMerge w:val="continue"/>
            <w:tcBorders>
              <w:left w:val="single" w:color="auto" w:sz="4" w:space="0"/>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19</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建立安全管理制度。制定日常用品分类消毒制度，对住养老年人的日常用品（口杯、毛巾、衣、被等物），分类清洗消毒每周1次，且有记录；</w:t>
            </w:r>
          </w:p>
        </w:tc>
        <w:tc>
          <w:tcPr>
            <w:tcW w:w="638" w:type="dxa"/>
            <w:gridSpan w:val="3"/>
            <w:noWrap w:val="0"/>
            <w:vAlign w:val="top"/>
          </w:tcPr>
          <w:p>
            <w:pPr>
              <w:pStyle w:val="2"/>
              <w:spacing w:beforeAutospacing="0" w:afterAutospacing="0" w:line="180" w:lineRule="exact"/>
              <w:jc w:val="both"/>
              <w:rPr>
                <w:rFonts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未制定日常用品及分类消毒制度、未实施消毒不得分；实施分类消毒不规范或消毒记录与实际消毒状况不符扣5分。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633" w:hRule="atLeast"/>
          <w:tblCellSpacing w:w="0" w:type="dxa"/>
        </w:trPr>
        <w:tc>
          <w:tcPr>
            <w:tcW w:w="643" w:type="dxa"/>
            <w:gridSpan w:val="2"/>
            <w:vMerge w:val="continue"/>
            <w:tcBorders>
              <w:left w:val="single" w:color="auto" w:sz="4" w:space="0"/>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20</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制定便器消毒制度；规范实施消毒，并有记录</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无便器消毒制度、未实施消毒不得分，实施消毒过程及消毒场地不规范、消毒记录不规范视情况扣分。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365" w:hRule="atLeast"/>
          <w:tblCellSpacing w:w="0" w:type="dxa"/>
        </w:trPr>
        <w:tc>
          <w:tcPr>
            <w:tcW w:w="643" w:type="dxa"/>
            <w:gridSpan w:val="2"/>
            <w:vMerge w:val="continue"/>
            <w:tcBorders>
              <w:left w:val="single" w:color="auto" w:sz="4" w:space="0"/>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21</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使用“温州市智慧养老服务网”并有记录</w:t>
            </w:r>
          </w:p>
        </w:tc>
        <w:tc>
          <w:tcPr>
            <w:tcW w:w="638" w:type="dxa"/>
            <w:gridSpan w:val="3"/>
            <w:noWrap w:val="0"/>
            <w:vAlign w:val="top"/>
          </w:tcPr>
          <w:p>
            <w:pPr>
              <w:pStyle w:val="2"/>
              <w:spacing w:beforeAutospacing="0" w:afterAutospacing="0" w:line="180" w:lineRule="exact"/>
              <w:jc w:val="both"/>
              <w:rPr>
                <w:rFonts w:ascii="仿宋_GB2312" w:hAnsi="仿宋_GB2312" w:cs="仿宋_GB2312"/>
                <w:kern w:val="2"/>
                <w:sz w:val="21"/>
                <w:szCs w:val="21"/>
              </w:rPr>
            </w:pPr>
            <w:r>
              <w:rPr>
                <w:rFonts w:hint="eastAsia" w:ascii="仿宋_GB2312" w:hAnsi="仿宋_GB2312" w:cs="仿宋_GB2312"/>
                <w:kern w:val="2"/>
                <w:sz w:val="21"/>
                <w:szCs w:val="21"/>
              </w:rPr>
              <w:t>15</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未使用或未开通网络或未更新信息不得分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421" w:hRule="atLeast"/>
          <w:tblCellSpacing w:w="0" w:type="dxa"/>
        </w:trPr>
        <w:tc>
          <w:tcPr>
            <w:tcW w:w="643" w:type="dxa"/>
            <w:gridSpan w:val="2"/>
            <w:vMerge w:val="continue"/>
            <w:tcBorders>
              <w:left w:val="single" w:color="auto" w:sz="4" w:space="0"/>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22</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制定出院、死亡后及疑似传染性疾病使用过的各类物品消毒制度，并按终、末消毒程序处置；按消毒隔离原则规范处置且有记录</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未制定消毒制度、未实施消毒及消毒处置程序不规范的不得分。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795" w:hRule="atLeast"/>
          <w:tblCellSpacing w:w="0" w:type="dxa"/>
        </w:trPr>
        <w:tc>
          <w:tcPr>
            <w:tcW w:w="643" w:type="dxa"/>
            <w:gridSpan w:val="2"/>
            <w:vMerge w:val="continue"/>
            <w:tcBorders>
              <w:left w:val="single" w:color="auto" w:sz="4" w:space="0"/>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23</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（1）做到生与熟、成品与半成品分开制作、存储；（2）建立食品留样备查制度，留样时间不少于48小时</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（1）（2）项各5分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874" w:hRule="atLeast"/>
          <w:tblCellSpacing w:w="0" w:type="dxa"/>
        </w:trPr>
        <w:tc>
          <w:tcPr>
            <w:tcW w:w="643" w:type="dxa"/>
            <w:gridSpan w:val="2"/>
            <w:vMerge w:val="continue"/>
            <w:tcBorders>
              <w:left w:val="single" w:color="auto" w:sz="4" w:space="0"/>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24</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提供财务年度财审计报告；财务人员须持证上岗；出纳、会计不能一人兼任；制定财务管理制度。</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不符合要求不得分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907" w:hRule="atLeast"/>
          <w:tblCellSpacing w:w="0" w:type="dxa"/>
        </w:trPr>
        <w:tc>
          <w:tcPr>
            <w:tcW w:w="643" w:type="dxa"/>
            <w:gridSpan w:val="2"/>
            <w:vMerge w:val="continue"/>
            <w:tcBorders>
              <w:left w:val="single" w:color="auto" w:sz="4" w:space="0"/>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25</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定期对服务质量进行评估或者考核，无虐老、欺老现象；院部对全年服务质量评价和改进情况有总结并向全院通报。</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无定期评估或考核扣5分；无总结扣5 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962" w:hRule="atLeast"/>
          <w:tblCellSpacing w:w="0" w:type="dxa"/>
        </w:trPr>
        <w:tc>
          <w:tcPr>
            <w:tcW w:w="643" w:type="dxa"/>
            <w:gridSpan w:val="2"/>
            <w:vMerge w:val="continue"/>
            <w:tcBorders>
              <w:left w:val="single" w:color="auto" w:sz="4" w:space="0"/>
              <w:bottom w:val="single" w:color="auto" w:sz="4" w:space="0"/>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26</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每年至少开展一次服务质量满意度调查</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未开展扣5分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08" w:hRule="atLeast"/>
          <w:tblCellSpacing w:w="0" w:type="dxa"/>
        </w:trPr>
        <w:tc>
          <w:tcPr>
            <w:tcW w:w="9543" w:type="dxa"/>
            <w:gridSpan w:val="13"/>
            <w:noWrap w:val="0"/>
            <w:vAlign w:val="center"/>
          </w:tcPr>
          <w:p>
            <w:pPr>
              <w:pStyle w:val="2"/>
              <w:spacing w:beforeAutospacing="0" w:afterAutospacing="0" w:line="280" w:lineRule="exact"/>
              <w:rPr>
                <w:rFonts w:hint="eastAsia" w:ascii="仿宋_GB2312" w:hAnsi="仿宋_GB2312" w:cs="仿宋_GB2312"/>
                <w:kern w:val="2"/>
              </w:rPr>
            </w:pPr>
            <w:r>
              <w:rPr>
                <w:rFonts w:hint="eastAsia" w:ascii="仿宋_GB2312" w:hAnsi="仿宋_GB2312" w:cs="仿宋_GB2312"/>
                <w:kern w:val="2"/>
              </w:rPr>
              <w:t>养老机构等级认定标准（服务部分）300分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9" w:type="dxa"/>
            <w:noWrap w:val="0"/>
            <w:vAlign w:val="center"/>
          </w:tcPr>
          <w:p>
            <w:pPr>
              <w:pStyle w:val="2"/>
              <w:spacing w:beforeAutospacing="0" w:afterAutospacing="0" w:line="280" w:lineRule="exact"/>
              <w:jc w:val="center"/>
              <w:rPr>
                <w:rFonts w:hint="eastAsia" w:ascii="仿宋_GB2312" w:hAnsi="仿宋_GB2312" w:cs="仿宋_GB2312"/>
                <w:kern w:val="2"/>
              </w:rPr>
            </w:pPr>
            <w:r>
              <w:rPr>
                <w:rFonts w:hint="eastAsia" w:ascii="仿宋_GB2312" w:hAnsi="仿宋_GB2312" w:cs="仿宋_GB2312"/>
                <w:kern w:val="2"/>
              </w:rPr>
              <w:t>类目</w:t>
            </w:r>
          </w:p>
        </w:tc>
        <w:tc>
          <w:tcPr>
            <w:tcW w:w="550" w:type="dxa"/>
            <w:gridSpan w:val="2"/>
            <w:noWrap w:val="0"/>
            <w:vAlign w:val="center"/>
          </w:tcPr>
          <w:p>
            <w:pPr>
              <w:pStyle w:val="2"/>
              <w:spacing w:beforeAutospacing="0" w:afterAutospacing="0" w:line="280" w:lineRule="exact"/>
              <w:jc w:val="center"/>
              <w:rPr>
                <w:rFonts w:hint="eastAsia" w:ascii="仿宋_GB2312" w:hAnsi="仿宋_GB2312" w:cs="仿宋_GB2312"/>
                <w:kern w:val="2"/>
              </w:rPr>
            </w:pPr>
            <w:r>
              <w:rPr>
                <w:rFonts w:hint="eastAsia" w:ascii="仿宋_GB2312" w:hAnsi="仿宋_GB2312" w:cs="仿宋_GB2312"/>
                <w:kern w:val="2"/>
              </w:rPr>
              <w:t>序号</w:t>
            </w:r>
          </w:p>
        </w:tc>
        <w:tc>
          <w:tcPr>
            <w:tcW w:w="4376" w:type="dxa"/>
            <w:gridSpan w:val="3"/>
            <w:noWrap w:val="0"/>
            <w:vAlign w:val="center"/>
          </w:tcPr>
          <w:p>
            <w:pPr>
              <w:pStyle w:val="2"/>
              <w:spacing w:beforeAutospacing="0" w:afterAutospacing="0" w:line="280" w:lineRule="exact"/>
              <w:jc w:val="center"/>
              <w:rPr>
                <w:rFonts w:hint="eastAsia" w:ascii="仿宋_GB2312" w:hAnsi="仿宋_GB2312" w:cs="仿宋_GB2312"/>
                <w:kern w:val="2"/>
              </w:rPr>
            </w:pPr>
            <w:r>
              <w:rPr>
                <w:rFonts w:hint="eastAsia" w:ascii="仿宋_GB2312" w:hAnsi="仿宋_GB2312" w:cs="仿宋_GB2312"/>
                <w:kern w:val="2"/>
              </w:rPr>
              <w:t>标准要求</w:t>
            </w:r>
          </w:p>
        </w:tc>
        <w:tc>
          <w:tcPr>
            <w:tcW w:w="541" w:type="dxa"/>
            <w:noWrap w:val="0"/>
            <w:vAlign w:val="center"/>
          </w:tcPr>
          <w:p>
            <w:pPr>
              <w:pStyle w:val="2"/>
              <w:spacing w:beforeAutospacing="0" w:afterAutospacing="0" w:line="280" w:lineRule="exact"/>
              <w:jc w:val="center"/>
              <w:rPr>
                <w:rFonts w:hint="eastAsia" w:ascii="仿宋_GB2312" w:hAnsi="仿宋_GB2312" w:cs="仿宋_GB2312"/>
                <w:kern w:val="2"/>
              </w:rPr>
            </w:pPr>
            <w:r>
              <w:rPr>
                <w:rFonts w:hint="eastAsia" w:ascii="仿宋_GB2312" w:hAnsi="仿宋_GB2312" w:cs="仿宋_GB2312"/>
                <w:kern w:val="2"/>
              </w:rPr>
              <w:t>分值</w:t>
            </w:r>
          </w:p>
        </w:tc>
        <w:tc>
          <w:tcPr>
            <w:tcW w:w="2783" w:type="dxa"/>
            <w:gridSpan w:val="3"/>
            <w:noWrap w:val="0"/>
            <w:vAlign w:val="center"/>
          </w:tcPr>
          <w:p>
            <w:pPr>
              <w:pStyle w:val="2"/>
              <w:spacing w:beforeAutospacing="0" w:afterAutospacing="0" w:line="280" w:lineRule="exact"/>
              <w:jc w:val="center"/>
              <w:rPr>
                <w:rFonts w:hint="eastAsia" w:ascii="仿宋_GB2312" w:hAnsi="仿宋_GB2312" w:cs="仿宋_GB2312"/>
                <w:kern w:val="2"/>
              </w:rPr>
            </w:pPr>
            <w:r>
              <w:rPr>
                <w:rFonts w:hint="eastAsia" w:ascii="仿宋_GB2312" w:hAnsi="仿宋_GB2312" w:cs="仿宋_GB2312"/>
                <w:kern w:val="2"/>
              </w:rPr>
              <w:t>评分标准</w:t>
            </w:r>
          </w:p>
        </w:tc>
        <w:tc>
          <w:tcPr>
            <w:tcW w:w="684" w:type="dxa"/>
            <w:gridSpan w:val="3"/>
            <w:noWrap w:val="0"/>
            <w:vAlign w:val="center"/>
          </w:tcPr>
          <w:p>
            <w:pPr>
              <w:pStyle w:val="2"/>
              <w:spacing w:beforeAutospacing="0" w:afterAutospacing="0" w:line="280" w:lineRule="exact"/>
              <w:jc w:val="center"/>
              <w:rPr>
                <w:rFonts w:hint="eastAsia" w:ascii="仿宋_GB2312" w:hAnsi="仿宋_GB2312" w:cs="仿宋_GB2312"/>
                <w:kern w:val="2"/>
              </w:rPr>
            </w:pPr>
            <w:r>
              <w:rPr>
                <w:rFonts w:hint="eastAsia" w:ascii="仿宋_GB2312" w:hAnsi="仿宋_GB2312" w:cs="仿宋_GB2312"/>
                <w:kern w:val="2"/>
              </w:rPr>
              <w:t>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75" w:hRule="atLeast"/>
          <w:tblCellSpacing w:w="0" w:type="dxa"/>
        </w:trPr>
        <w:tc>
          <w:tcPr>
            <w:tcW w:w="609" w:type="dxa"/>
            <w:vMerge w:val="restart"/>
            <w:noWrap w:val="0"/>
            <w:vAlign w:val="center"/>
          </w:tcPr>
          <w:p>
            <w:pPr>
              <w:spacing w:line="200" w:lineRule="exact"/>
              <w:jc w:val="center"/>
              <w:rPr>
                <w:rFonts w:hint="eastAsia" w:ascii="仿宋_GB2312" w:hAnsi="仿宋_GB2312" w:cs="仿宋_GB2312"/>
                <w:sz w:val="21"/>
                <w:szCs w:val="21"/>
              </w:rPr>
            </w:pPr>
            <w:r>
              <w:rPr>
                <w:rFonts w:hint="eastAsia" w:ascii="仿宋_GB2312" w:hAnsi="仿宋_GB2312" w:cs="仿宋_GB2312"/>
                <w:sz w:val="21"/>
                <w:szCs w:val="21"/>
              </w:rPr>
              <w:t>服</w:t>
            </w:r>
          </w:p>
          <w:p>
            <w:pPr>
              <w:spacing w:line="200" w:lineRule="exact"/>
              <w:jc w:val="center"/>
              <w:rPr>
                <w:rFonts w:hint="eastAsia" w:ascii="仿宋_GB2312" w:hAnsi="仿宋_GB2312" w:cs="仿宋_GB2312"/>
                <w:sz w:val="21"/>
                <w:szCs w:val="21"/>
              </w:rPr>
            </w:pPr>
            <w:r>
              <w:rPr>
                <w:rFonts w:hint="eastAsia" w:ascii="仿宋_GB2312" w:hAnsi="仿宋_GB2312" w:cs="仿宋_GB2312"/>
                <w:sz w:val="21"/>
                <w:szCs w:val="21"/>
              </w:rPr>
              <w:t>务</w:t>
            </w:r>
          </w:p>
          <w:p>
            <w:pPr>
              <w:spacing w:line="200" w:lineRule="exact"/>
              <w:jc w:val="center"/>
              <w:rPr>
                <w:rFonts w:hint="eastAsia" w:ascii="仿宋_GB2312" w:hAnsi="仿宋_GB2312" w:cs="仿宋_GB2312"/>
                <w:sz w:val="21"/>
                <w:szCs w:val="21"/>
              </w:rPr>
            </w:pPr>
            <w:r>
              <w:rPr>
                <w:rFonts w:hint="eastAsia" w:ascii="仿宋_GB2312" w:hAnsi="仿宋_GB2312" w:cs="仿宋_GB2312"/>
                <w:sz w:val="21"/>
                <w:szCs w:val="21"/>
              </w:rPr>
              <w:t>部</w:t>
            </w:r>
          </w:p>
          <w:p>
            <w:pPr>
              <w:spacing w:line="200" w:lineRule="exact"/>
              <w:jc w:val="center"/>
              <w:rPr>
                <w:rFonts w:hint="eastAsia" w:ascii="仿宋_GB2312" w:hAnsi="仿宋_GB2312" w:cs="仿宋_GB2312"/>
                <w:sz w:val="21"/>
                <w:szCs w:val="21"/>
              </w:rPr>
            </w:pPr>
            <w:r>
              <w:rPr>
                <w:rFonts w:hint="eastAsia" w:ascii="仿宋_GB2312" w:hAnsi="仿宋_GB2312" w:cs="仿宋_GB2312"/>
                <w:sz w:val="21"/>
                <w:szCs w:val="21"/>
              </w:rPr>
              <w:t>分</w:t>
            </w: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照护内容的选择与照护等级相对应；根据服务对象的照护等级与实际状况选择照护服务项目，并设置住养老年人照护项目服务卡，注明该老年人所需服务项目、膳食要求、特殊体质等（如：糖尿病、严重骨质疏松等）</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15</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照护内容的选择与照护等级不相符扣10分，未设置老年人照护服务项目卡不得分</w:t>
            </w: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9" w:type="dxa"/>
            <w:vMerge w:val="continue"/>
            <w:noWrap w:val="0"/>
            <w:vAlign w:val="center"/>
          </w:tcPr>
          <w:p>
            <w:pPr>
              <w:spacing w:line="200" w:lineRule="exact"/>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提供24小时当班、值班服务，并做好护理交接班和记录</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15</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无护理交接班记录不得分；记录格式不规范，记录内容不完整不规范以现场查勘为准，按照实际情况扣分</w:t>
            </w: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9" w:type="dxa"/>
            <w:vMerge w:val="continue"/>
            <w:noWrap w:val="0"/>
            <w:vAlign w:val="center"/>
          </w:tcPr>
          <w:p>
            <w:pPr>
              <w:spacing w:line="200" w:lineRule="exact"/>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3</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护理员熟悉服务对象的照护等级、服务内容及各服务项目的流程</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20</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以现场询问、查勘为准</w:t>
            </w: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9" w:type="dxa"/>
            <w:vMerge w:val="continue"/>
            <w:noWrap w:val="0"/>
            <w:vAlign w:val="center"/>
          </w:tcPr>
          <w:p>
            <w:pPr>
              <w:spacing w:line="200" w:lineRule="exact"/>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4</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为需协助翻身者建立翻身卡，每2小时翻身1次，特殊情况视情应增加翻身频次，翻身卡记录内容与实际操作相符；交接班时检查皮肤状况且有记录</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15</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需协助翻身者未建立翻身卡不得分，翻身卡记录不规范以现场查勘为准，视情况扣分</w:t>
            </w: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9" w:type="dxa"/>
            <w:vMerge w:val="continue"/>
            <w:noWrap w:val="0"/>
            <w:vAlign w:val="center"/>
          </w:tcPr>
          <w:p>
            <w:pPr>
              <w:spacing w:line="200" w:lineRule="exact"/>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院内压疮发生率Ⅰ0≤ 5‰，Ⅱ0、Ⅲ0为零；制定压疮预防制度、压疮护理流程</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15</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Ⅰ0、Ⅱ0、Ⅲ0压疮发生率与标注不符的不得分，有带入压疮、及特殊体质（低蛋白症等）老年人发生压疮以现场查勘为准</w:t>
            </w: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9" w:type="dxa"/>
            <w:vMerge w:val="continue"/>
            <w:noWrap w:val="0"/>
            <w:vAlign w:val="center"/>
          </w:tcPr>
          <w:p>
            <w:pPr>
              <w:spacing w:line="200" w:lineRule="exact"/>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6</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住养老人居室清洁、无异味，居室内物品分类放置整齐有序，及时清理保持橱柜整洁；对有认知缺失、情绪行为异常的被照护者，易造成伤害的利器等应集中管理且有记录</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老年人居室及公共活动区域内有异味不得分，居室内物品分类放置整齐有序，橱柜整洁欠规范以现场查勘为准，视情况扣分；易造成伤害的利器等未集中管理且无记录的扣5分</w:t>
            </w: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9" w:type="dxa"/>
            <w:vMerge w:val="continue"/>
            <w:noWrap w:val="0"/>
            <w:vAlign w:val="center"/>
          </w:tcPr>
          <w:p>
            <w:pPr>
              <w:spacing w:line="200" w:lineRule="exact"/>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7</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各场所卫生状况良好；住养老人个人卫生状况良好</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一项不足扣5分；以现场查勘为准</w:t>
            </w: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9" w:type="dxa"/>
            <w:vMerge w:val="continue"/>
            <w:noWrap w:val="0"/>
            <w:vAlign w:val="center"/>
          </w:tcPr>
          <w:p>
            <w:pPr>
              <w:spacing w:line="200" w:lineRule="exact"/>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8</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定期清扫房间、更换、清洗、晾晒老年人衣物及床上用品，保持床铺整洁，并有记录</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无记录不得分</w:t>
            </w: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9" w:type="dxa"/>
            <w:vMerge w:val="continue"/>
            <w:noWrap w:val="0"/>
            <w:vAlign w:val="center"/>
          </w:tcPr>
          <w:p>
            <w:pPr>
              <w:spacing w:line="200" w:lineRule="exact"/>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9</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定期对走廊、功能活动区及设施设备进行清洁和消毒，并有记录；保持公共服务区域整洁卫生、地面干燥、无异味</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无记录扣5分；地面不整洁干燥，有异味扣5分</w:t>
            </w: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9" w:type="dxa"/>
            <w:vMerge w:val="continue"/>
            <w:noWrap w:val="0"/>
            <w:vAlign w:val="center"/>
          </w:tcPr>
          <w:p>
            <w:pPr>
              <w:spacing w:line="200" w:lineRule="exact"/>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开展医养结合工作：设立院内医疗机构或者与医疗机构建立协作关系</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30</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未开展医养结合工作不得分；“医疗服务协议书”记录不完整、不规范扣10分</w:t>
            </w: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9" w:type="dxa"/>
            <w:vMerge w:val="continue"/>
            <w:noWrap w:val="0"/>
            <w:vAlign w:val="center"/>
          </w:tcPr>
          <w:p>
            <w:pPr>
              <w:spacing w:line="200" w:lineRule="exact"/>
              <w:jc w:val="center"/>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11</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开展适合老年人身心特点的歌舞、书画、手工、棋牌等文化娱乐活动和康乐活动，培养老年人兴趣爱好；开展节日、特殊纪念日活动</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20</w:t>
            </w:r>
          </w:p>
        </w:tc>
        <w:tc>
          <w:tcPr>
            <w:tcW w:w="2833" w:type="dxa"/>
            <w:gridSpan w:val="4"/>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未开展一项扣10分</w:t>
            </w:r>
          </w:p>
        </w:tc>
        <w:tc>
          <w:tcPr>
            <w:tcW w:w="634" w:type="dxa"/>
            <w:gridSpan w:val="2"/>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9" w:type="dxa"/>
            <w:vMerge w:val="continue"/>
            <w:noWrap w:val="0"/>
            <w:vAlign w:val="center"/>
          </w:tcPr>
          <w:p>
            <w:pPr>
              <w:spacing w:line="200" w:lineRule="exact"/>
              <w:jc w:val="center"/>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12</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组织志愿者为老年人提供服务；倡导老年人参与力所能及的志愿服务</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833" w:type="dxa"/>
            <w:gridSpan w:val="4"/>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未组织不得分</w:t>
            </w:r>
          </w:p>
        </w:tc>
        <w:tc>
          <w:tcPr>
            <w:tcW w:w="634" w:type="dxa"/>
            <w:gridSpan w:val="2"/>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9" w:type="dxa"/>
            <w:vMerge w:val="continue"/>
            <w:noWrap w:val="0"/>
            <w:vAlign w:val="center"/>
          </w:tcPr>
          <w:p>
            <w:pPr>
              <w:spacing w:line="200" w:lineRule="exact"/>
              <w:jc w:val="center"/>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13</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为失能老人提供基础生活照料服务</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视情况扣分</w:t>
            </w: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9" w:type="dxa"/>
            <w:vMerge w:val="continue"/>
            <w:noWrap w:val="0"/>
            <w:vAlign w:val="center"/>
          </w:tcPr>
          <w:p>
            <w:pPr>
              <w:spacing w:line="200" w:lineRule="exact"/>
              <w:jc w:val="center"/>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14</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定期为老年人体检，开展健康管理、健康咨询、健康教育防保健宣教讲座等工作，每年不少于6次且有记录；讲座内容包括公共卫生、老年人常见疾病的预防以及流行性疾病的预防等</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20</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未定期为老年人体检，开展健康管理、健康咨询、健康教育防保健宣教讲座等工作不得分</w:t>
            </w: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9" w:type="dxa"/>
            <w:vMerge w:val="continue"/>
            <w:noWrap w:val="0"/>
            <w:vAlign w:val="center"/>
          </w:tcPr>
          <w:p>
            <w:pPr>
              <w:spacing w:line="200" w:lineRule="exact"/>
              <w:jc w:val="center"/>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15</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在社工及医务人员陪护下，根据体能特点，组织各类适合老年人的兴趣小组及志愿者联谊等社交文体娱乐活动；每周不少于一次；活动有计划，组织实施有记录，活动中有防范措施；</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15</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未成立老年人兴趣小组不得分，其他各项不规范以现场查勘为准，视情况扣分</w:t>
            </w: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9" w:type="dxa"/>
            <w:vMerge w:val="continue"/>
            <w:noWrap w:val="0"/>
            <w:vAlign w:val="center"/>
          </w:tcPr>
          <w:p>
            <w:pPr>
              <w:spacing w:line="200" w:lineRule="exact"/>
              <w:jc w:val="center"/>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16</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每年组织两次以上大型活动有记录，制定大型活动突发事件预案</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无每年组织两次以上的大型活动及未制定“大型活动突发事件预案”不得分，活动记录及制定“突发事件预案”不规范以现场查勘为准，视情况扣分</w:t>
            </w: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75" w:hRule="atLeast"/>
          <w:tblCellSpacing w:w="0" w:type="dxa"/>
        </w:trPr>
        <w:tc>
          <w:tcPr>
            <w:tcW w:w="609" w:type="dxa"/>
            <w:vMerge w:val="continue"/>
            <w:noWrap w:val="0"/>
            <w:vAlign w:val="center"/>
          </w:tcPr>
          <w:p>
            <w:pPr>
              <w:spacing w:line="200" w:lineRule="exact"/>
              <w:jc w:val="center"/>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17</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建立餐具及配、送餐用具（如：送餐车、送餐专用电梯等）消毒制度，实施消毒规范并记录完整；餐（饮）具、厨房和就餐区卫生应符合国家相关规定</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未制定消毒制度、未实施消毒不得分；消毒记录不规范不完整以现场查勘为准，视情况扣分</w:t>
            </w: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35" w:hRule="atLeast"/>
          <w:tblCellSpacing w:w="0" w:type="dxa"/>
        </w:trPr>
        <w:tc>
          <w:tcPr>
            <w:tcW w:w="609" w:type="dxa"/>
            <w:vMerge w:val="continue"/>
            <w:noWrap w:val="0"/>
            <w:vAlign w:val="center"/>
          </w:tcPr>
          <w:p>
            <w:pPr>
              <w:spacing w:line="200" w:lineRule="exact"/>
              <w:jc w:val="center"/>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18</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膳食荤素搭配合理，食谱每周至少更换一次，并向老年人公布并存档；荤素食品48小时留样规范且有记录</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15</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一项不符扣5分</w:t>
            </w: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35" w:hRule="atLeast"/>
          <w:tblCellSpacing w:w="0" w:type="dxa"/>
        </w:trPr>
        <w:tc>
          <w:tcPr>
            <w:tcW w:w="609" w:type="dxa"/>
            <w:vMerge w:val="continue"/>
            <w:noWrap w:val="0"/>
            <w:vAlign w:val="center"/>
          </w:tcPr>
          <w:p>
            <w:pPr>
              <w:spacing w:line="200" w:lineRule="exact"/>
              <w:jc w:val="center"/>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ascii="仿宋_GB2312" w:hAnsi="仿宋_GB2312" w:cs="仿宋_GB2312"/>
                <w:kern w:val="2"/>
                <w:sz w:val="21"/>
                <w:szCs w:val="21"/>
              </w:rPr>
            </w:pPr>
            <w:r>
              <w:rPr>
                <w:rFonts w:hint="eastAsia" w:ascii="仿宋_GB2312" w:hAnsi="仿宋_GB2312" w:cs="仿宋_GB2312"/>
                <w:kern w:val="2"/>
                <w:sz w:val="21"/>
                <w:szCs w:val="21"/>
              </w:rPr>
              <w:t>19</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根据老年人身体状况及需求、地域特点、民族、宗教习惯提供膳食，并分类登记</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无根据、未登记不得分</w:t>
            </w: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80" w:hRule="atLeast"/>
          <w:tblCellSpacing w:w="0" w:type="dxa"/>
        </w:trPr>
        <w:tc>
          <w:tcPr>
            <w:tcW w:w="609" w:type="dxa"/>
            <w:vMerge w:val="continue"/>
            <w:noWrap w:val="0"/>
            <w:vAlign w:val="center"/>
          </w:tcPr>
          <w:p>
            <w:pPr>
              <w:spacing w:line="200" w:lineRule="exact"/>
              <w:jc w:val="center"/>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ascii="仿宋_GB2312" w:hAnsi="仿宋_GB2312" w:cs="仿宋_GB2312"/>
                <w:kern w:val="2"/>
                <w:sz w:val="21"/>
                <w:szCs w:val="21"/>
              </w:rPr>
            </w:pPr>
            <w:r>
              <w:rPr>
                <w:rFonts w:hint="eastAsia" w:ascii="仿宋_GB2312" w:hAnsi="仿宋_GB2312" w:cs="仿宋_GB2312"/>
                <w:kern w:val="2"/>
                <w:sz w:val="21"/>
                <w:szCs w:val="21"/>
              </w:rPr>
              <w:t>20</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遵医嘱为需特殊膳食的老年人提供“特殊膳食”（如：低糖、低脂及酥、流质膳食等），其膳食要求应体现在配菜记录与照护服务项目卡中</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操作流程不规范，无记录以现场查勘为准</w:t>
            </w: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30" w:hRule="atLeast"/>
          <w:tblCellSpacing w:w="0" w:type="dxa"/>
        </w:trPr>
        <w:tc>
          <w:tcPr>
            <w:tcW w:w="609" w:type="dxa"/>
            <w:vMerge w:val="continue"/>
            <w:noWrap w:val="0"/>
            <w:vAlign w:val="center"/>
          </w:tcPr>
          <w:p>
            <w:pPr>
              <w:spacing w:line="200" w:lineRule="exact"/>
              <w:jc w:val="center"/>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21</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食堂实施独立核算，盈亏率≤±5%；老人食堂每月公布账目</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一项不符扣5分</w:t>
            </w: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5" w:hRule="atLeast"/>
          <w:tblCellSpacing w:w="0" w:type="dxa"/>
        </w:trPr>
        <w:tc>
          <w:tcPr>
            <w:tcW w:w="609" w:type="dxa"/>
            <w:vMerge w:val="continue"/>
            <w:noWrap w:val="0"/>
            <w:vAlign w:val="center"/>
          </w:tcPr>
          <w:p>
            <w:pPr>
              <w:spacing w:line="200" w:lineRule="exact"/>
              <w:jc w:val="center"/>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22</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为临终老人提供关怀服务；应家属要求，协助老年人去世后的后事处理</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p>
        </w:tc>
      </w:tr>
    </w:tbl>
    <w:p>
      <w:pPr>
        <w:pStyle w:val="2"/>
        <w:spacing w:before="302" w:beforeAutospacing="0" w:after="150" w:afterAutospacing="0" w:line="300" w:lineRule="atLeast"/>
        <w:rPr>
          <w:rFonts w:hint="eastAsia" w:eastAsia="宋体"/>
        </w:rPr>
      </w:pPr>
    </w:p>
    <w:p>
      <w:pPr>
        <w:pStyle w:val="2"/>
        <w:spacing w:before="302" w:beforeAutospacing="0" w:after="150" w:afterAutospacing="0" w:line="300" w:lineRule="atLeast"/>
        <w:rPr>
          <w:rFonts w:hint="eastAsia" w:eastAsia="宋体"/>
        </w:rPr>
      </w:pPr>
    </w:p>
    <w:p>
      <w:pPr>
        <w:pStyle w:val="2"/>
        <w:spacing w:before="302" w:beforeAutospacing="0" w:after="150" w:afterAutospacing="0" w:line="300" w:lineRule="atLeast"/>
        <w:rPr>
          <w:rFonts w:hint="eastAsia" w:eastAsia="宋体"/>
        </w:rPr>
      </w:pPr>
    </w:p>
    <w:tbl>
      <w:tblPr>
        <w:tblStyle w:val="3"/>
        <w:tblW w:w="0" w:type="auto"/>
        <w:tblCellSpacing w:w="0" w:type="dxa"/>
        <w:tblInd w:w="-39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94"/>
        <w:gridCol w:w="743"/>
        <w:gridCol w:w="4142"/>
        <w:gridCol w:w="584"/>
        <w:gridCol w:w="2600"/>
        <w:gridCol w:w="7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89" w:hRule="atLeast"/>
          <w:tblCellSpacing w:w="0" w:type="dxa"/>
        </w:trPr>
        <w:tc>
          <w:tcPr>
            <w:tcW w:w="9729" w:type="dxa"/>
            <w:gridSpan w:val="6"/>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养老机构等级认定标准（设施设备及物品要求）200分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94" w:type="dxa"/>
            <w:noWrap w:val="0"/>
            <w:vAlign w:val="center"/>
          </w:tcPr>
          <w:p>
            <w:pPr>
              <w:pStyle w:val="2"/>
              <w:spacing w:beforeAutospacing="0" w:afterAutospacing="0" w:line="320" w:lineRule="exact"/>
              <w:jc w:val="center"/>
              <w:rPr>
                <w:rFonts w:hint="eastAsia" w:ascii="仿宋_GB2312" w:hAnsi="仿宋_GB2312" w:cs="仿宋_GB2312"/>
                <w:kern w:val="2"/>
              </w:rPr>
            </w:pPr>
            <w:r>
              <w:rPr>
                <w:rFonts w:hint="eastAsia" w:ascii="仿宋_GB2312" w:hAnsi="仿宋_GB2312" w:cs="仿宋_GB2312"/>
                <w:kern w:val="2"/>
              </w:rPr>
              <w:t>类目</w:t>
            </w:r>
          </w:p>
        </w:tc>
        <w:tc>
          <w:tcPr>
            <w:tcW w:w="743" w:type="dxa"/>
            <w:noWrap w:val="0"/>
            <w:vAlign w:val="center"/>
          </w:tcPr>
          <w:p>
            <w:pPr>
              <w:pStyle w:val="2"/>
              <w:spacing w:beforeAutospacing="0" w:afterAutospacing="0" w:line="320" w:lineRule="exact"/>
              <w:jc w:val="center"/>
              <w:rPr>
                <w:rFonts w:hint="eastAsia" w:ascii="仿宋_GB2312" w:hAnsi="仿宋_GB2312" w:cs="仿宋_GB2312"/>
                <w:kern w:val="2"/>
              </w:rPr>
            </w:pPr>
            <w:r>
              <w:rPr>
                <w:rFonts w:hint="eastAsia" w:ascii="仿宋_GB2312" w:hAnsi="仿宋_GB2312" w:cs="仿宋_GB2312"/>
                <w:kern w:val="2"/>
              </w:rPr>
              <w:t>序号</w:t>
            </w:r>
          </w:p>
        </w:tc>
        <w:tc>
          <w:tcPr>
            <w:tcW w:w="4142" w:type="dxa"/>
            <w:noWrap w:val="0"/>
            <w:vAlign w:val="center"/>
          </w:tcPr>
          <w:p>
            <w:pPr>
              <w:pStyle w:val="2"/>
              <w:spacing w:beforeAutospacing="0" w:afterAutospacing="0" w:line="320" w:lineRule="exact"/>
              <w:jc w:val="center"/>
              <w:rPr>
                <w:rFonts w:hint="eastAsia" w:ascii="仿宋_GB2312" w:hAnsi="仿宋_GB2312" w:cs="仿宋_GB2312"/>
                <w:kern w:val="2"/>
              </w:rPr>
            </w:pPr>
            <w:r>
              <w:rPr>
                <w:rFonts w:hint="eastAsia" w:ascii="仿宋_GB2312" w:hAnsi="仿宋_GB2312" w:cs="仿宋_GB2312"/>
                <w:kern w:val="2"/>
              </w:rPr>
              <w:t>标准要求</w:t>
            </w:r>
          </w:p>
        </w:tc>
        <w:tc>
          <w:tcPr>
            <w:tcW w:w="584" w:type="dxa"/>
            <w:noWrap w:val="0"/>
            <w:vAlign w:val="center"/>
          </w:tcPr>
          <w:p>
            <w:pPr>
              <w:pStyle w:val="2"/>
              <w:spacing w:beforeAutospacing="0" w:afterAutospacing="0" w:line="320" w:lineRule="exact"/>
              <w:jc w:val="center"/>
              <w:rPr>
                <w:rFonts w:hint="eastAsia" w:ascii="仿宋_GB2312" w:hAnsi="仿宋_GB2312" w:cs="仿宋_GB2312"/>
                <w:kern w:val="2"/>
              </w:rPr>
            </w:pPr>
            <w:r>
              <w:rPr>
                <w:rFonts w:hint="eastAsia" w:ascii="仿宋_GB2312" w:hAnsi="仿宋_GB2312" w:cs="仿宋_GB2312"/>
                <w:kern w:val="2"/>
              </w:rPr>
              <w:t>分值</w:t>
            </w:r>
          </w:p>
        </w:tc>
        <w:tc>
          <w:tcPr>
            <w:tcW w:w="2600" w:type="dxa"/>
            <w:noWrap w:val="0"/>
            <w:vAlign w:val="center"/>
          </w:tcPr>
          <w:p>
            <w:pPr>
              <w:pStyle w:val="2"/>
              <w:spacing w:beforeAutospacing="0" w:afterAutospacing="0" w:line="320" w:lineRule="exact"/>
              <w:jc w:val="center"/>
              <w:rPr>
                <w:rFonts w:hint="eastAsia" w:ascii="仿宋_GB2312" w:hAnsi="仿宋_GB2312" w:cs="仿宋_GB2312"/>
                <w:kern w:val="2"/>
              </w:rPr>
            </w:pPr>
            <w:r>
              <w:rPr>
                <w:rFonts w:hint="eastAsia" w:ascii="仿宋_GB2312" w:hAnsi="仿宋_GB2312" w:cs="仿宋_GB2312"/>
                <w:kern w:val="2"/>
              </w:rPr>
              <w:t>评分标准</w:t>
            </w:r>
          </w:p>
        </w:tc>
        <w:tc>
          <w:tcPr>
            <w:tcW w:w="766" w:type="dxa"/>
            <w:noWrap w:val="0"/>
            <w:vAlign w:val="center"/>
          </w:tcPr>
          <w:p>
            <w:pPr>
              <w:pStyle w:val="2"/>
              <w:spacing w:beforeAutospacing="0" w:afterAutospacing="0" w:line="320" w:lineRule="exact"/>
              <w:jc w:val="center"/>
              <w:rPr>
                <w:rFonts w:hint="eastAsia" w:ascii="仿宋_GB2312" w:hAnsi="仿宋_GB2312" w:cs="仿宋_GB2312"/>
                <w:kern w:val="2"/>
              </w:rPr>
            </w:pPr>
            <w:r>
              <w:rPr>
                <w:rFonts w:hint="eastAsia" w:ascii="仿宋_GB2312" w:hAnsi="仿宋_GB2312" w:cs="仿宋_GB2312"/>
                <w:kern w:val="2"/>
              </w:rPr>
              <w:t>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94" w:type="dxa"/>
            <w:vMerge w:val="restart"/>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设</w:t>
            </w:r>
          </w:p>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施</w:t>
            </w:r>
          </w:p>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设</w:t>
            </w:r>
          </w:p>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备</w:t>
            </w:r>
          </w:p>
          <w:p>
            <w:pPr>
              <w:pStyle w:val="2"/>
              <w:spacing w:beforeAutospacing="0" w:afterAutospacing="0" w:line="200" w:lineRule="exact"/>
              <w:jc w:val="center"/>
              <w:rPr>
                <w:rFonts w:hint="eastAsia" w:ascii="仿宋_GB2312" w:hAnsi="仿宋_GB2312" w:cs="仿宋_GB2312"/>
                <w:kern w:val="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室外坡道：独立设置的有效宽度不小于1.50m；与台阶结合的有效宽度不小于1.20m；（2）设扶手的坡道其坡度≤1/12；不设扶手的坡道其坡度≤1/20；（3）坡道的起止点有≥1.50m×1.50m回转面积；平台宽度≤2.00m；（4）当坡道侧面临空时栏杆下端设高度≥50mm的安全档台；（5）坡道设置双侧扶手，坡道两侧到建筑物主要出入口安装连续扶手，起止点的扶手端部水平延伸至少0.30m。</w:t>
            </w:r>
          </w:p>
        </w:tc>
        <w:tc>
          <w:tcPr>
            <w:tcW w:w="584"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15</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（1）—（3）项不符合标准每项扣1分，（4）项不符合标准扣2分，（5）项不符合标准不得分</w:t>
            </w:r>
          </w:p>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 </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94" w:type="dxa"/>
            <w:vMerge w:val="continue"/>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室内坡道净宽≥1.00m、坡度≤1/12、高度不大于0.50m、水平长度≤6.00m；</w:t>
            </w:r>
          </w:p>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设置双侧扶手；</w:t>
            </w:r>
          </w:p>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地面做防滑处理。</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坡道宽度、坡度、高度、水平长度不符合标准每项扣1分；坡道无双侧扶手及地面无防滑处理扣2分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94" w:type="dxa"/>
            <w:vMerge w:val="continue"/>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3</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（1）过厅、走道、房间不设门槛；</w:t>
            </w:r>
          </w:p>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（2）地面不应有高差，有高差时采用不大于1/12坡面过渡并在起止处有异色警示条；</w:t>
            </w:r>
          </w:p>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（3）过厅、走道设双侧扶手，高度为0.90m。</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（1）项不符合标准扣4分；（2）项不符合标准扣2分</w:t>
            </w:r>
          </w:p>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（3）走道、过厅未设双侧扶手扣4分，扶手设立不符合标准扣2分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94" w:type="dxa"/>
            <w:vMerge w:val="continue"/>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4</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应采用缓步楼梯</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不符合标准，不得分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94" w:type="dxa"/>
            <w:vMerge w:val="continue"/>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（1）踏步：不采用扇形踏步；前缘平行等距、下方不透空；用颜色区分踏步与走道；（2）起终点有局部照明。</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（1）项不符合标准扣4分；（2）项不符合标准扣2分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94" w:type="dxa"/>
            <w:vMerge w:val="continue"/>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6</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（1）楼梯设置双侧扶手，高度为0.90m，扶手栏杆的杆件间距≤0.11m；</w:t>
            </w:r>
          </w:p>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室外楼梯（含消防梯）扶手高度≥1.10m，扶手栏杆的杆件间距≤0.11m；</w:t>
            </w:r>
          </w:p>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（2）当楼梯井宽度大于0.20m时，楼梯井一侧水平护栏高度≥1.10m；</w:t>
            </w:r>
          </w:p>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（3）楼梯段与平台均应采取不可燃材料制作；</w:t>
            </w:r>
          </w:p>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（4）楼梯凌空护栏距地面高度大于1.20m。</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（1）项不符合标准扣5分；（2）项不符合标准扣5分；（3）应符合消防部门对建筑材料标准要求，如不符合不得分（4）项不符合标准扣2分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44" w:hRule="atLeast"/>
          <w:tblCellSpacing w:w="0" w:type="dxa"/>
        </w:trPr>
        <w:tc>
          <w:tcPr>
            <w:tcW w:w="894" w:type="dxa"/>
            <w:vMerge w:val="continue"/>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7</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（1）生活区域内可开启的外窗距地面的高度≥1.00m；</w:t>
            </w:r>
          </w:p>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（2）收住失智老年人的居室外窗设置限位窗，宽度不大于0.11m，如设置栅栏不得全封闭。                                  </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（1）、（2）不符合标准每项扣5分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55" w:hRule="atLeast"/>
          <w:tblCellSpacing w:w="0" w:type="dxa"/>
        </w:trPr>
        <w:tc>
          <w:tcPr>
            <w:tcW w:w="894" w:type="dxa"/>
            <w:tcBorders>
              <w:bottom w:val="nil"/>
            </w:tcBorders>
            <w:noWrap w:val="0"/>
            <w:vAlign w:val="center"/>
          </w:tcPr>
          <w:p>
            <w:pPr>
              <w:pStyle w:val="2"/>
              <w:spacing w:beforeAutospacing="0" w:afterAutospacing="0" w:line="320" w:lineRule="exact"/>
              <w:jc w:val="center"/>
              <w:rPr>
                <w:rFonts w:hint="eastAsia" w:ascii="仿宋_GB2312" w:hAnsi="仿宋_GB2312" w:cs="仿宋_GB2312"/>
                <w:kern w:val="2"/>
                <w:sz w:val="21"/>
                <w:szCs w:val="21"/>
              </w:rPr>
            </w:pPr>
            <w:r>
              <w:rPr>
                <w:rFonts w:hint="eastAsia" w:ascii="仿宋_GB2312" w:hAnsi="仿宋_GB2312" w:cs="仿宋_GB2312"/>
                <w:kern w:val="2"/>
              </w:rPr>
              <w:t>类目</w:t>
            </w:r>
          </w:p>
        </w:tc>
        <w:tc>
          <w:tcPr>
            <w:tcW w:w="743" w:type="dxa"/>
            <w:noWrap w:val="0"/>
            <w:vAlign w:val="center"/>
          </w:tcPr>
          <w:p>
            <w:pPr>
              <w:pStyle w:val="2"/>
              <w:spacing w:beforeAutospacing="0" w:afterAutospacing="0" w:line="320" w:lineRule="exact"/>
              <w:jc w:val="center"/>
              <w:rPr>
                <w:rFonts w:hint="eastAsia" w:ascii="仿宋_GB2312" w:hAnsi="仿宋_GB2312" w:cs="仿宋_GB2312"/>
                <w:kern w:val="2"/>
                <w:sz w:val="21"/>
                <w:szCs w:val="21"/>
              </w:rPr>
            </w:pPr>
            <w:r>
              <w:rPr>
                <w:rFonts w:hint="eastAsia" w:ascii="仿宋_GB2312" w:hAnsi="仿宋_GB2312" w:cs="仿宋_GB2312"/>
                <w:kern w:val="2"/>
              </w:rPr>
              <w:t>序号</w:t>
            </w:r>
          </w:p>
        </w:tc>
        <w:tc>
          <w:tcPr>
            <w:tcW w:w="4142" w:type="dxa"/>
            <w:noWrap w:val="0"/>
            <w:vAlign w:val="center"/>
          </w:tcPr>
          <w:p>
            <w:pPr>
              <w:pStyle w:val="2"/>
              <w:spacing w:beforeAutospacing="0" w:afterAutospacing="0" w:line="320" w:lineRule="exact"/>
              <w:jc w:val="center"/>
              <w:rPr>
                <w:rFonts w:hint="eastAsia" w:ascii="仿宋_GB2312" w:hAnsi="仿宋_GB2312" w:cs="仿宋_GB2312"/>
                <w:kern w:val="2"/>
                <w:sz w:val="21"/>
                <w:szCs w:val="21"/>
              </w:rPr>
            </w:pPr>
            <w:r>
              <w:rPr>
                <w:rFonts w:hint="eastAsia" w:ascii="仿宋_GB2312" w:hAnsi="仿宋_GB2312" w:cs="仿宋_GB2312"/>
                <w:kern w:val="2"/>
              </w:rPr>
              <w:t>标准要求</w:t>
            </w:r>
          </w:p>
        </w:tc>
        <w:tc>
          <w:tcPr>
            <w:tcW w:w="584" w:type="dxa"/>
            <w:noWrap w:val="0"/>
            <w:vAlign w:val="center"/>
          </w:tcPr>
          <w:p>
            <w:pPr>
              <w:pStyle w:val="2"/>
              <w:spacing w:beforeAutospacing="0" w:afterAutospacing="0" w:line="320" w:lineRule="exact"/>
              <w:jc w:val="center"/>
              <w:rPr>
                <w:rFonts w:hint="eastAsia" w:ascii="仿宋_GB2312" w:hAnsi="仿宋_GB2312" w:cs="仿宋_GB2312"/>
                <w:kern w:val="2"/>
                <w:sz w:val="21"/>
                <w:szCs w:val="21"/>
              </w:rPr>
            </w:pPr>
            <w:r>
              <w:rPr>
                <w:rFonts w:hint="eastAsia" w:ascii="仿宋_GB2312" w:hAnsi="仿宋_GB2312" w:cs="仿宋_GB2312"/>
                <w:kern w:val="2"/>
              </w:rPr>
              <w:t>分值</w:t>
            </w:r>
          </w:p>
        </w:tc>
        <w:tc>
          <w:tcPr>
            <w:tcW w:w="2600" w:type="dxa"/>
            <w:noWrap w:val="0"/>
            <w:vAlign w:val="center"/>
          </w:tcPr>
          <w:p>
            <w:pPr>
              <w:pStyle w:val="2"/>
              <w:spacing w:beforeAutospacing="0" w:afterAutospacing="0" w:line="320" w:lineRule="exact"/>
              <w:jc w:val="center"/>
              <w:rPr>
                <w:rFonts w:hint="eastAsia" w:ascii="仿宋_GB2312" w:hAnsi="仿宋_GB2312" w:cs="仿宋_GB2312"/>
                <w:kern w:val="2"/>
                <w:sz w:val="21"/>
                <w:szCs w:val="21"/>
              </w:rPr>
            </w:pPr>
            <w:r>
              <w:rPr>
                <w:rFonts w:hint="eastAsia" w:ascii="仿宋_GB2312" w:hAnsi="仿宋_GB2312" w:cs="仿宋_GB2312"/>
                <w:kern w:val="2"/>
              </w:rPr>
              <w:t>评分标准</w:t>
            </w:r>
          </w:p>
        </w:tc>
        <w:tc>
          <w:tcPr>
            <w:tcW w:w="766" w:type="dxa"/>
            <w:noWrap w:val="0"/>
            <w:vAlign w:val="center"/>
          </w:tcPr>
          <w:p>
            <w:pPr>
              <w:pStyle w:val="2"/>
              <w:spacing w:beforeAutospacing="0" w:afterAutospacing="0" w:line="320" w:lineRule="exact"/>
              <w:jc w:val="center"/>
              <w:rPr>
                <w:rFonts w:hint="eastAsia" w:ascii="仿宋_GB2312" w:hAnsi="仿宋_GB2312" w:cs="仿宋_GB2312"/>
                <w:kern w:val="2"/>
              </w:rPr>
            </w:pPr>
            <w:r>
              <w:rPr>
                <w:rFonts w:hint="eastAsia" w:ascii="仿宋_GB2312" w:hAnsi="仿宋_GB2312" w:cs="仿宋_GB2312"/>
                <w:kern w:val="2"/>
              </w:rPr>
              <w:t>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33" w:hRule="atLeast"/>
          <w:tblCellSpacing w:w="0" w:type="dxa"/>
        </w:trPr>
        <w:tc>
          <w:tcPr>
            <w:tcW w:w="894" w:type="dxa"/>
            <w:vMerge w:val="restart"/>
            <w:tcBorders>
              <w:bottom w:val="nil"/>
            </w:tcBorders>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设</w:t>
            </w:r>
          </w:p>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施</w:t>
            </w:r>
          </w:p>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设</w:t>
            </w:r>
          </w:p>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备</w:t>
            </w:r>
          </w:p>
          <w:p>
            <w:pPr>
              <w:pStyle w:val="2"/>
              <w:spacing w:beforeAutospacing="0" w:afterAutospacing="0" w:line="200" w:lineRule="exact"/>
              <w:jc w:val="center"/>
              <w:rPr>
                <w:rFonts w:hint="eastAsia" w:ascii="仿宋_GB2312" w:hAnsi="仿宋_GB2312" w:cs="仿宋_GB2312"/>
                <w:kern w:val="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8</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阳台：开敞式的阳台栏杆高度≥1.10m，护栏杆间距≤0.11m，距地面0.30m高度无留空；（2）阳台与居室之间的地面有高差应做缓坡；（3）平台：室内、外悬空平台护栏高度≥1.50m，护栏杆间距≤0.11m；老年人使用的开敞式阳台或屋顶上人平台临空处不设可攀登的扶手；（4）供老人活动的屋顶平台，女儿墙护栏高度不低于1.20m。</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（1）项不符合标准扣2分；（2）不符合标准扣2分；（3）项不符合标准扣2分；（4）项不符合标准扣2分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55" w:hRule="atLeast"/>
          <w:tblCellSpacing w:w="0" w:type="dxa"/>
        </w:trPr>
        <w:tc>
          <w:tcPr>
            <w:tcW w:w="894" w:type="dxa"/>
            <w:vMerge w:val="continue"/>
            <w:tcBorders>
              <w:top w:val="nil"/>
              <w:bottom w:val="nil"/>
            </w:tcBorders>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9</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三层及以上建筑物至少应设置一部电梯，并应符合有关规定。电梯井不应与卧室、起居室贴邻设置。</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未设置电梯或电梯设置不符合相关规定不得分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781" w:hRule="atLeast"/>
          <w:tblCellSpacing w:w="0" w:type="dxa"/>
        </w:trPr>
        <w:tc>
          <w:tcPr>
            <w:tcW w:w="894" w:type="dxa"/>
            <w:vMerge w:val="continue"/>
            <w:tcBorders>
              <w:top w:val="nil"/>
              <w:bottom w:val="nil"/>
            </w:tcBorders>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（1）卧室：有自然通风和采光、不设在地下层，室内净高不低于2.60m，有降温和保暖设备；每间卧室床位数不大于4张，重度照护卧室床位数不大于6张。（2）单人床、双人床设置适宜。</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（1）项不符合标准扣6分；（2）项不符合标准扣4分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26" w:hRule="atLeast"/>
          <w:tblCellSpacing w:w="0" w:type="dxa"/>
        </w:trPr>
        <w:tc>
          <w:tcPr>
            <w:tcW w:w="894" w:type="dxa"/>
            <w:vMerge w:val="continue"/>
            <w:tcBorders>
              <w:top w:val="nil"/>
              <w:bottom w:val="nil"/>
            </w:tcBorders>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11</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（1）卫生间：与卧室近临设置；平面布置方便轮椅进出；水龙头不应使用旋转式开关；便器为坐式，坐便器旁设安全扶手；（2）地面采用防滑材料，与相邻房间地面无高差。</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（1）、（2）不符合标准每一项扣5分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CellSpacing w:w="0" w:type="dxa"/>
        </w:trPr>
        <w:tc>
          <w:tcPr>
            <w:tcW w:w="894" w:type="dxa"/>
            <w:vMerge w:val="continue"/>
            <w:tcBorders>
              <w:top w:val="nil"/>
              <w:bottom w:val="nil"/>
            </w:tcBorders>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12</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公共厨房内设施应符合《食品经营许可管理办法》的规定；</w:t>
            </w:r>
          </w:p>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非公共厨房有排烟、换气设施；采用外包膳食服务的机构应设有满足分餐需求的设施</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不符合标准不得分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16" w:hRule="atLeast"/>
          <w:tblCellSpacing w:w="0" w:type="dxa"/>
        </w:trPr>
        <w:tc>
          <w:tcPr>
            <w:tcW w:w="894" w:type="dxa"/>
            <w:vMerge w:val="continue"/>
            <w:tcBorders>
              <w:top w:val="nil"/>
              <w:bottom w:val="nil"/>
            </w:tcBorders>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13</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就餐空间面积满足就餐需求，就餐区域桌椅牢固稳定</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不符合标准不得分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735" w:hRule="atLeast"/>
          <w:tblCellSpacing w:w="0" w:type="dxa"/>
        </w:trPr>
        <w:tc>
          <w:tcPr>
            <w:tcW w:w="894" w:type="dxa"/>
            <w:vMerge w:val="continue"/>
            <w:tcBorders>
              <w:top w:val="nil"/>
              <w:bottom w:val="nil"/>
            </w:tcBorders>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14</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（1）公用浴室；重度照护区域的公用浴室就近设置。平面布置便于轮椅进出，留有助浴空间，地面无高差；（2）设高0.70m水平抓杆和高1.40m的垂直抓杆；淋浴座椅高度不大于0.40m。</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（1）项不符合标准扣5分，如：公用浴室设置不规范无助浴空间、地面有高差等；（2）项不符合标准扣5分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6" w:hRule="atLeast"/>
          <w:tblCellSpacing w:w="0" w:type="dxa"/>
        </w:trPr>
        <w:tc>
          <w:tcPr>
            <w:tcW w:w="894" w:type="dxa"/>
            <w:vMerge w:val="continue"/>
            <w:tcBorders>
              <w:top w:val="nil"/>
              <w:bottom w:val="nil"/>
            </w:tcBorders>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15</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（1）公用卫生间，每个楼层应设置公用卫生间，地面无高差；</w:t>
            </w:r>
          </w:p>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（2）坐便器旁设安全扶手，距地面高度0.70m。</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（1）项不符合标准扣5分，如：公用卫生间设置不规范或地名有高差等；（2）项不符合标准扣5分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94" w:type="dxa"/>
            <w:vMerge w:val="continue"/>
            <w:tcBorders>
              <w:top w:val="nil"/>
              <w:bottom w:val="nil"/>
            </w:tcBorders>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16</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（1）洗衣房：有集中放置清洁物品、杂物的专门区域；配有洗衣机等设施，操作场所布局合理，洁污分开、通风良好；（2）设置污染衣物预洗和消毒水池并符合卫生部门相关规定。</w:t>
            </w:r>
          </w:p>
        </w:tc>
        <w:tc>
          <w:tcPr>
            <w:tcW w:w="584" w:type="dxa"/>
            <w:noWrap w:val="0"/>
            <w:vAlign w:val="center"/>
          </w:tcPr>
          <w:p>
            <w:pPr>
              <w:pStyle w:val="2"/>
              <w:spacing w:beforeAutospacing="0" w:afterAutospacing="0" w:line="200" w:lineRule="exact"/>
              <w:jc w:val="center"/>
              <w:rPr>
                <w:rFonts w:ascii="仿宋_GB2312" w:hAnsi="仿宋_GB2312" w:cs="仿宋_GB2312"/>
                <w:kern w:val="2"/>
                <w:sz w:val="21"/>
                <w:szCs w:val="21"/>
              </w:rPr>
            </w:pPr>
            <w:r>
              <w:rPr>
                <w:rFonts w:hint="eastAsia" w:ascii="仿宋_GB2312" w:hAnsi="仿宋_GB2312" w:cs="仿宋_GB2312"/>
                <w:kern w:val="2"/>
                <w:sz w:val="21"/>
                <w:szCs w:val="21"/>
              </w:rPr>
              <w:t>10</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（1）项不符合标准扣5分；（2）项不符合标准扣5分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blCellSpacing w:w="0" w:type="dxa"/>
        </w:trPr>
        <w:tc>
          <w:tcPr>
            <w:tcW w:w="894" w:type="dxa"/>
            <w:vMerge w:val="continue"/>
            <w:tcBorders>
              <w:top w:val="nil"/>
              <w:bottom w:val="nil"/>
            </w:tcBorders>
            <w:noWrap w:val="0"/>
            <w:vAlign w:val="center"/>
          </w:tcPr>
          <w:p>
            <w:pPr>
              <w:widowControl/>
              <w:spacing w:line="200" w:lineRule="exact"/>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17</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晒衣场：有固定晒衣场地</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无固定晒衣场地不得分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94" w:type="dxa"/>
            <w:vMerge w:val="restart"/>
            <w:tcBorders>
              <w:top w:val="nil"/>
            </w:tcBorders>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设施设备</w:t>
            </w: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18</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（1）污物处理间：有老年人生活的区域，每个楼层应设置污物处理间，重度照护区域应就近设置；（2）设有便器消毒池（水池不少于2个）。</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视情况扣分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94" w:type="dxa"/>
            <w:vMerge w:val="continue"/>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19</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有专门的接待区域、室外活动场所，配置老年人交流、活动用房、康复用房，设备配置有空调、彩电、橱柜等相应设备及康复器材</w:t>
            </w:r>
          </w:p>
        </w:tc>
        <w:tc>
          <w:tcPr>
            <w:tcW w:w="584" w:type="dxa"/>
            <w:noWrap w:val="0"/>
            <w:vAlign w:val="center"/>
          </w:tcPr>
          <w:p>
            <w:pPr>
              <w:pStyle w:val="2"/>
              <w:spacing w:beforeAutospacing="0" w:afterAutospacing="0" w:line="200" w:lineRule="exact"/>
              <w:jc w:val="center"/>
              <w:rPr>
                <w:rFonts w:ascii="仿宋_GB2312" w:hAnsi="仿宋_GB2312" w:cs="仿宋_GB2312"/>
                <w:kern w:val="2"/>
                <w:sz w:val="21"/>
                <w:szCs w:val="21"/>
              </w:rPr>
            </w:pPr>
            <w:r>
              <w:rPr>
                <w:rFonts w:hint="eastAsia" w:ascii="仿宋_GB2312" w:hAnsi="仿宋_GB2312" w:cs="仿宋_GB2312"/>
                <w:kern w:val="2"/>
                <w:sz w:val="21"/>
                <w:szCs w:val="21"/>
              </w:rPr>
              <w:t>10</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视情况扣分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94" w:type="dxa"/>
            <w:vMerge w:val="continue"/>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20</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（1）呼叫装置：卧室、卫生间、浴室、公用浴室、公用卫生间、公共活动区域需安装呼叫装置且触摸方便；（2）呼叫装置终端与每个楼层照护站相连；（3）每个楼层有视线可及的显示屏。</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（1）未设置呼叫装置不得分（10分全扣）；呼叫装置设置不规范或不到位扣5分；（2）项不符合标准扣3分；（3）无显示屏扣2分，安装不规范不到位酌情扣分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94" w:type="dxa"/>
            <w:vMerge w:val="continue"/>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21</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（1）照明：卧室设置顶灯、床头灯、脚灯等照明设备；</w:t>
            </w:r>
          </w:p>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（2）出入口内、外及平台、阳台、走道、楼梯等公共部位应设照明设备</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视情况扣分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83" w:hRule="atLeast"/>
          <w:tblCellSpacing w:w="0" w:type="dxa"/>
        </w:trPr>
        <w:tc>
          <w:tcPr>
            <w:tcW w:w="894" w:type="dxa"/>
            <w:vMerge w:val="continue"/>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22</w:t>
            </w:r>
          </w:p>
        </w:tc>
        <w:tc>
          <w:tcPr>
            <w:tcW w:w="4142" w:type="dxa"/>
            <w:noWrap w:val="0"/>
            <w:vAlign w:val="center"/>
          </w:tcPr>
          <w:p>
            <w:pPr>
              <w:widowControl/>
              <w:spacing w:line="200" w:lineRule="exact"/>
              <w:rPr>
                <w:rFonts w:hint="eastAsia" w:ascii="仿宋_GB2312" w:hAnsi="仿宋_GB2312" w:cs="仿宋_GB2312"/>
                <w:sz w:val="21"/>
                <w:szCs w:val="21"/>
              </w:rPr>
            </w:pPr>
            <w:r>
              <w:rPr>
                <w:rFonts w:hint="eastAsia" w:ascii="仿宋_GB2312" w:hAnsi="仿宋_GB2312" w:cs="仿宋_GB2312"/>
                <w:sz w:val="21"/>
                <w:szCs w:val="21"/>
              </w:rPr>
              <w:t>老年人居室面积适宜，自理、部分失能老年人的房间不超过4张床位，失能老年人的房间不超过6张床位，配备相应生活设施设备和物品</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视情况扣分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94" w:type="dxa"/>
            <w:vMerge w:val="continue"/>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23</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因地制宜对老年人入住环境进行适老化改造，实现无障碍环境；地面做防滑处理</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视情况扣分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94" w:type="dxa"/>
            <w:vMerge w:val="continue"/>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24</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老年人易接触到的各种设备无尖角凸出部分</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视情况扣分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94" w:type="dxa"/>
            <w:vMerge w:val="continue"/>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ascii="仿宋_GB2312" w:hAnsi="仿宋_GB2312" w:cs="仿宋_GB2312"/>
                <w:kern w:val="2"/>
                <w:sz w:val="21"/>
                <w:szCs w:val="21"/>
              </w:rPr>
            </w:pPr>
            <w:r>
              <w:rPr>
                <w:rFonts w:hint="eastAsia" w:ascii="仿宋_GB2312" w:hAnsi="仿宋_GB2312" w:cs="仿宋_GB2312"/>
                <w:kern w:val="2"/>
                <w:sz w:val="21"/>
                <w:szCs w:val="21"/>
              </w:rPr>
              <w:t>26</w:t>
            </w:r>
          </w:p>
        </w:tc>
        <w:tc>
          <w:tcPr>
            <w:tcW w:w="4142" w:type="dxa"/>
            <w:noWrap w:val="0"/>
            <w:vAlign w:val="center"/>
          </w:tcPr>
          <w:p>
            <w:pPr>
              <w:widowControl/>
              <w:spacing w:line="200" w:lineRule="exact"/>
              <w:rPr>
                <w:rFonts w:hint="eastAsia" w:ascii="仿宋_GB2312" w:hAnsi="仿宋_GB2312" w:cs="仿宋_GB2312"/>
                <w:sz w:val="21"/>
                <w:szCs w:val="21"/>
                <w:highlight w:val="yellow"/>
              </w:rPr>
            </w:pPr>
            <w:r>
              <w:rPr>
                <w:rFonts w:hint="eastAsia" w:ascii="仿宋_GB2312" w:hAnsi="仿宋_GB2312" w:cs="仿宋_GB2312"/>
                <w:sz w:val="21"/>
                <w:szCs w:val="21"/>
              </w:rPr>
              <w:t>有能满足车辆停放需求的停车位/区</w:t>
            </w:r>
          </w:p>
        </w:tc>
        <w:tc>
          <w:tcPr>
            <w:tcW w:w="584" w:type="dxa"/>
            <w:noWrap w:val="0"/>
            <w:vAlign w:val="center"/>
          </w:tcPr>
          <w:p>
            <w:pPr>
              <w:pStyle w:val="2"/>
              <w:spacing w:beforeAutospacing="0" w:afterAutospacing="0" w:line="200" w:lineRule="exact"/>
              <w:jc w:val="center"/>
              <w:rPr>
                <w:rFonts w:ascii="仿宋_GB2312" w:hAnsi="仿宋_GB2312" w:cs="仿宋_GB2312"/>
                <w:kern w:val="2"/>
                <w:sz w:val="21"/>
                <w:szCs w:val="21"/>
              </w:rPr>
            </w:pPr>
            <w:r>
              <w:rPr>
                <w:rFonts w:hint="eastAsia" w:ascii="仿宋_GB2312" w:hAnsi="仿宋_GB2312" w:cs="仿宋_GB2312"/>
                <w:kern w:val="2"/>
                <w:sz w:val="21"/>
                <w:szCs w:val="21"/>
              </w:rPr>
              <w:t>5</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视情况扣分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6B7D4F"/>
    <w:rsid w:val="4F6B7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2021-08-17T09:51:00Z</dcterms:created>
  <dc:creator>黄良巧</dc:creator>
  <cp:lastModifiedBy>黄良巧</cp:lastModifiedBy>
  <dcterms:modified xsi:type="dcterms:W3CDTF">2021-08-17T09:52:24Z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